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227E" w14:textId="77777777" w:rsidR="00B8410E" w:rsidRPr="00B8410E" w:rsidRDefault="00B8410E" w:rsidP="00B8410E">
      <w:pPr>
        <w:pStyle w:val="Overskrift10"/>
        <w:jc w:val="center"/>
        <w:rPr>
          <w:sz w:val="44"/>
          <w:szCs w:val="44"/>
        </w:rPr>
      </w:pPr>
      <w:r w:rsidRPr="00B8410E">
        <w:rPr>
          <w:sz w:val="44"/>
          <w:szCs w:val="44"/>
        </w:rPr>
        <w:t>Vejledning til udfyldelse af Databehandleraftale</w:t>
      </w:r>
    </w:p>
    <w:p w14:paraId="19CFFAA4" w14:textId="77777777" w:rsidR="00B8410E" w:rsidRPr="00B8410E" w:rsidRDefault="00B8410E" w:rsidP="00B8410E">
      <w:pPr>
        <w:pStyle w:val="Overskrift10"/>
        <w:jc w:val="center"/>
        <w:rPr>
          <w:sz w:val="40"/>
          <w:szCs w:val="40"/>
        </w:rPr>
      </w:pPr>
      <w:r w:rsidRPr="00B8410E">
        <w:rPr>
          <w:sz w:val="40"/>
          <w:szCs w:val="40"/>
          <w:highlight w:val="yellow"/>
        </w:rPr>
        <w:t>Dataansvarligvenlig</w:t>
      </w:r>
    </w:p>
    <w:p w14:paraId="5ACF2843" w14:textId="77777777" w:rsidR="00B8410E" w:rsidRPr="0041776F" w:rsidRDefault="00B8410E" w:rsidP="00B8410E"/>
    <w:p w14:paraId="58488581" w14:textId="77777777" w:rsidR="00B8410E" w:rsidRPr="0041776F" w:rsidRDefault="00B8410E" w:rsidP="00B8410E"/>
    <w:p w14:paraId="713686AB" w14:textId="77777777" w:rsidR="00B8410E" w:rsidRPr="0041776F" w:rsidRDefault="00B8410E" w:rsidP="00B8410E">
      <w:pPr>
        <w:pStyle w:val="Underrubrik"/>
      </w:pPr>
      <w:r w:rsidRPr="0041776F">
        <w:t>Denne databehandleraftale er inddelt i to dele:</w:t>
      </w:r>
    </w:p>
    <w:p w14:paraId="53D94209" w14:textId="77777777" w:rsidR="00B8410E" w:rsidRPr="0041776F" w:rsidRDefault="00B8410E" w:rsidP="00B8410E"/>
    <w:p w14:paraId="50C72D1C" w14:textId="77777777" w:rsidR="00B8410E" w:rsidRPr="0041776F" w:rsidRDefault="00B8410E" w:rsidP="00B8410E">
      <w:pPr>
        <w:pStyle w:val="Listeafsnit"/>
        <w:numPr>
          <w:ilvl w:val="0"/>
          <w:numId w:val="15"/>
        </w:numPr>
        <w:ind w:left="567" w:hanging="567"/>
      </w:pPr>
      <w:r w:rsidRPr="0041776F">
        <w:t>En almindelig del side 2 – 1</w:t>
      </w:r>
      <w:r>
        <w:t>3</w:t>
      </w:r>
      <w:r w:rsidRPr="0041776F">
        <w:t xml:space="preserve">, som det stort set ikke er nødvendigt at ændre i fra aftaleforhold til aftaleforhold. Dette er standardteksten, og de få steder, der skal ændres foruden oplysninger på parterne, er markeret med gult. </w:t>
      </w:r>
    </w:p>
    <w:p w14:paraId="041A5CD9" w14:textId="77777777" w:rsidR="00B8410E" w:rsidRPr="0041776F" w:rsidRDefault="00B8410E" w:rsidP="00B8410E">
      <w:pPr>
        <w:pStyle w:val="Listeafsnit"/>
        <w:ind w:left="567" w:hanging="567"/>
      </w:pPr>
    </w:p>
    <w:p w14:paraId="0268A3DD" w14:textId="77777777" w:rsidR="00B8410E" w:rsidRDefault="00B8410E" w:rsidP="00B8410E">
      <w:pPr>
        <w:pStyle w:val="Listeafsnit"/>
        <w:numPr>
          <w:ilvl w:val="0"/>
          <w:numId w:val="15"/>
        </w:numPr>
        <w:ind w:left="567" w:hanging="567"/>
      </w:pPr>
      <w:r w:rsidRPr="0041776F">
        <w:t>En specifik del, der indeholder databehandleraftalens nødvendige bilag side 1</w:t>
      </w:r>
      <w:r>
        <w:t>4</w:t>
      </w:r>
      <w:r w:rsidRPr="0041776F">
        <w:t xml:space="preserve"> - </w:t>
      </w:r>
      <w:r>
        <w:t>20</w:t>
      </w:r>
      <w:r w:rsidRPr="0041776F">
        <w:t xml:space="preserve">. Denne del skal udfyldes særskilt fra aftaleforhold til aftaleholdhold. Der skal blandt andet fremgå nærmere oplysninger om behandlingen af de relevante personoplysninger, den aftalte behandlingssikkerhed, den dataansvarliges godkendelse af eventuelle underdatabehandlere og procedurer for tilsynet med databehandleren og eventuelle underdatabehandlere. </w:t>
      </w:r>
    </w:p>
    <w:p w14:paraId="0362FD27" w14:textId="77777777" w:rsidR="00B8410E" w:rsidRDefault="00B8410E" w:rsidP="00B8410E">
      <w:pPr>
        <w:pStyle w:val="Listeafsnit"/>
      </w:pPr>
    </w:p>
    <w:p w14:paraId="07966690" w14:textId="77777777" w:rsidR="00B8410E" w:rsidRPr="0041776F" w:rsidRDefault="00B8410E" w:rsidP="00B8410E">
      <w:r>
        <w:t xml:space="preserve">Husk på, at Databehandleraftalen altid skal fungere som et bilag til en samarbejdsaftale, salgs og leveringsbetingelser, eller lignende. </w:t>
      </w:r>
    </w:p>
    <w:p w14:paraId="2FE95EEC" w14:textId="77777777" w:rsidR="00B8410E" w:rsidRDefault="00B8410E" w:rsidP="00B8410E"/>
    <w:p w14:paraId="26EB4C4B" w14:textId="77777777" w:rsidR="00B8410E" w:rsidRPr="0041776F" w:rsidRDefault="00B8410E" w:rsidP="00B8410E">
      <w:pPr>
        <w:jc w:val="center"/>
      </w:pPr>
      <w:r>
        <w:t>*</w:t>
      </w:r>
    </w:p>
    <w:p w14:paraId="2BDAB3E9" w14:textId="77777777" w:rsidR="00B8410E" w:rsidRDefault="00B8410E" w:rsidP="00B8410E"/>
    <w:p w14:paraId="0034C33F" w14:textId="77777777" w:rsidR="00B8410E" w:rsidRPr="0041776F" w:rsidRDefault="00B8410E" w:rsidP="00B8410E">
      <w:pPr>
        <w:rPr>
          <w:b/>
        </w:rPr>
      </w:pPr>
      <w:r w:rsidRPr="0041776F">
        <w:t>Når databehandleraftale</w:t>
      </w:r>
      <w:r>
        <w:t>en</w:t>
      </w:r>
      <w:r w:rsidRPr="0041776F">
        <w:t xml:space="preserve"> tages i brug, skal I altid huske følgende:</w:t>
      </w:r>
      <w:r w:rsidRPr="0041776F">
        <w:rPr>
          <w:b/>
        </w:rPr>
        <w:t xml:space="preserve"> </w:t>
      </w:r>
    </w:p>
    <w:p w14:paraId="0332F3F3" w14:textId="77777777" w:rsidR="00B8410E" w:rsidRPr="0041776F" w:rsidRDefault="00B8410E" w:rsidP="00B8410E">
      <w:pPr>
        <w:rPr>
          <w:b/>
        </w:rPr>
      </w:pPr>
    </w:p>
    <w:p w14:paraId="54C55D43" w14:textId="77777777" w:rsidR="00B8410E" w:rsidRDefault="00B8410E" w:rsidP="00B8410E">
      <w:pPr>
        <w:pStyle w:val="Listeafsnit"/>
        <w:numPr>
          <w:ilvl w:val="0"/>
          <w:numId w:val="13"/>
        </w:numPr>
        <w:ind w:left="567" w:hanging="567"/>
        <w:rPr>
          <w:color w:val="000000" w:themeColor="text1"/>
        </w:rPr>
      </w:pPr>
      <w:r w:rsidRPr="0041776F">
        <w:rPr>
          <w:color w:val="000000" w:themeColor="text1"/>
        </w:rPr>
        <w:t xml:space="preserve">Udfylde aftalens forside, dato, parternes navne samt afsnit </w:t>
      </w:r>
      <w:r w:rsidRPr="0041776F">
        <w:rPr>
          <w:color w:val="000000" w:themeColor="text1"/>
        </w:rPr>
        <w:fldChar w:fldCharType="begin"/>
      </w:r>
      <w:r w:rsidRPr="0041776F">
        <w:rPr>
          <w:color w:val="000000" w:themeColor="text1"/>
        </w:rPr>
        <w:instrText xml:space="preserve"> REF _Ref508967984 \r \h </w:instrText>
      </w:r>
      <w:r w:rsidRPr="0041776F">
        <w:rPr>
          <w:color w:val="000000" w:themeColor="text1"/>
        </w:rPr>
      </w:r>
      <w:r w:rsidRPr="0041776F">
        <w:rPr>
          <w:color w:val="000000" w:themeColor="text1"/>
        </w:rPr>
        <w:fldChar w:fldCharType="separate"/>
      </w:r>
      <w:r>
        <w:rPr>
          <w:color w:val="000000" w:themeColor="text1"/>
        </w:rPr>
        <w:t>1.1</w:t>
      </w:r>
      <w:r w:rsidRPr="0041776F">
        <w:rPr>
          <w:color w:val="000000" w:themeColor="text1"/>
        </w:rPr>
        <w:fldChar w:fldCharType="end"/>
      </w:r>
      <w:r w:rsidRPr="0041776F">
        <w:rPr>
          <w:color w:val="000000" w:themeColor="text1"/>
        </w:rPr>
        <w:t xml:space="preserve">, afsnit </w:t>
      </w:r>
      <w:r w:rsidRPr="0041776F">
        <w:rPr>
          <w:color w:val="000000" w:themeColor="text1"/>
        </w:rPr>
        <w:fldChar w:fldCharType="begin"/>
      </w:r>
      <w:r w:rsidRPr="0041776F">
        <w:rPr>
          <w:color w:val="000000" w:themeColor="text1"/>
        </w:rPr>
        <w:instrText xml:space="preserve"> REF _Ref508967938 \r \h </w:instrText>
      </w:r>
      <w:r w:rsidRPr="0041776F">
        <w:rPr>
          <w:color w:val="000000" w:themeColor="text1"/>
        </w:rPr>
      </w:r>
      <w:r w:rsidRPr="0041776F">
        <w:rPr>
          <w:color w:val="000000" w:themeColor="text1"/>
        </w:rPr>
        <w:fldChar w:fldCharType="separate"/>
      </w:r>
      <w:r>
        <w:rPr>
          <w:color w:val="000000" w:themeColor="text1"/>
        </w:rPr>
        <w:t>2.1</w:t>
      </w:r>
      <w:r w:rsidRPr="0041776F">
        <w:rPr>
          <w:color w:val="000000" w:themeColor="text1"/>
        </w:rPr>
        <w:fldChar w:fldCharType="end"/>
      </w:r>
      <w:r w:rsidRPr="0041776F">
        <w:rPr>
          <w:color w:val="000000" w:themeColor="text1"/>
        </w:rPr>
        <w:t xml:space="preserve"> og </w:t>
      </w:r>
      <w:r w:rsidRPr="0041776F">
        <w:rPr>
          <w:color w:val="000000" w:themeColor="text1"/>
        </w:rPr>
        <w:fldChar w:fldCharType="begin"/>
      </w:r>
      <w:r w:rsidRPr="0041776F">
        <w:rPr>
          <w:color w:val="000000" w:themeColor="text1"/>
        </w:rPr>
        <w:instrText xml:space="preserve"> REF _Ref508969003 \r \h </w:instrText>
      </w:r>
      <w:r w:rsidRPr="0041776F">
        <w:rPr>
          <w:color w:val="000000" w:themeColor="text1"/>
        </w:rPr>
      </w:r>
      <w:r w:rsidRPr="0041776F">
        <w:rPr>
          <w:color w:val="000000" w:themeColor="text1"/>
        </w:rPr>
        <w:fldChar w:fldCharType="separate"/>
      </w:r>
      <w:r>
        <w:rPr>
          <w:color w:val="000000" w:themeColor="text1"/>
        </w:rPr>
        <w:t>15.2</w:t>
      </w:r>
      <w:r w:rsidRPr="0041776F">
        <w:rPr>
          <w:color w:val="000000" w:themeColor="text1"/>
        </w:rPr>
        <w:fldChar w:fldCharType="end"/>
      </w:r>
      <w:r w:rsidRPr="0041776F">
        <w:rPr>
          <w:color w:val="000000" w:themeColor="text1"/>
        </w:rPr>
        <w:t xml:space="preserve"> (disse afsnit er markeret med gult),</w:t>
      </w:r>
      <w:r>
        <w:rPr>
          <w:color w:val="000000" w:themeColor="text1"/>
        </w:rPr>
        <w:t xml:space="preserve"> samt tage stilling til de enkelte alternativer, I kan finde inde i aftalen. </w:t>
      </w:r>
    </w:p>
    <w:p w14:paraId="3297AD18" w14:textId="77777777" w:rsidR="00B8410E" w:rsidRDefault="00B8410E" w:rsidP="00B8410E">
      <w:pPr>
        <w:pStyle w:val="Listeafsnit"/>
        <w:ind w:left="567"/>
        <w:rPr>
          <w:color w:val="000000" w:themeColor="text1"/>
        </w:rPr>
      </w:pPr>
    </w:p>
    <w:p w14:paraId="7FD83C7E" w14:textId="77777777" w:rsidR="00B8410E" w:rsidRDefault="00B8410E" w:rsidP="00B8410E">
      <w:pPr>
        <w:pStyle w:val="Listeafsnit"/>
        <w:numPr>
          <w:ilvl w:val="0"/>
          <w:numId w:val="13"/>
        </w:numPr>
        <w:ind w:left="567" w:hanging="567"/>
        <w:rPr>
          <w:color w:val="000000" w:themeColor="text1"/>
        </w:rPr>
      </w:pPr>
      <w:r>
        <w:rPr>
          <w:color w:val="000000" w:themeColor="text1"/>
        </w:rPr>
        <w:t xml:space="preserve">Vælge hvilke type kontrol I ønsker i afsnit 8. Der er opstillet tre alternativer, sådan at afsnit 8.1 altid skal bevares, og herefter vælges alternativ 1, 2 eller 3. Alternativ 3 er mildest, mens alternativ 1 er strengest. </w:t>
      </w:r>
    </w:p>
    <w:p w14:paraId="2595B89E" w14:textId="77777777" w:rsidR="00B8410E" w:rsidRPr="00D05BC5" w:rsidRDefault="00B8410E" w:rsidP="00B8410E">
      <w:pPr>
        <w:pStyle w:val="Listeafsnit"/>
        <w:rPr>
          <w:color w:val="000000" w:themeColor="text1"/>
        </w:rPr>
      </w:pPr>
    </w:p>
    <w:p w14:paraId="7BD84F33" w14:textId="77777777" w:rsidR="00B8410E" w:rsidRPr="0041776F" w:rsidRDefault="00B8410E" w:rsidP="00B8410E">
      <w:pPr>
        <w:pStyle w:val="Listeafsnit"/>
        <w:numPr>
          <w:ilvl w:val="0"/>
          <w:numId w:val="13"/>
        </w:numPr>
        <w:ind w:left="567" w:hanging="567"/>
        <w:rPr>
          <w:color w:val="000000" w:themeColor="text1"/>
        </w:rPr>
      </w:pPr>
      <w:r>
        <w:rPr>
          <w:color w:val="000000" w:themeColor="text1"/>
        </w:rPr>
        <w:t xml:space="preserve">Vælg altid ansvaret i afsnit 10. afsnit 10.1-10.2 er strengest, mens afsnit 10.3-10.5 er mildest. </w:t>
      </w:r>
    </w:p>
    <w:p w14:paraId="34635482" w14:textId="77777777" w:rsidR="00B8410E" w:rsidRPr="0041776F" w:rsidRDefault="00B8410E" w:rsidP="00B8410E">
      <w:pPr>
        <w:pStyle w:val="Listeafsnit"/>
        <w:ind w:left="567"/>
        <w:rPr>
          <w:color w:val="000000" w:themeColor="text1"/>
        </w:rPr>
      </w:pPr>
      <w:r w:rsidRPr="0041776F">
        <w:rPr>
          <w:color w:val="000000" w:themeColor="text1"/>
        </w:rPr>
        <w:t xml:space="preserve"> </w:t>
      </w:r>
    </w:p>
    <w:p w14:paraId="61ADD82A" w14:textId="77777777" w:rsidR="00B8410E" w:rsidRPr="0041776F" w:rsidRDefault="00B8410E" w:rsidP="00B8410E">
      <w:pPr>
        <w:pStyle w:val="Listeafsnit"/>
        <w:numPr>
          <w:ilvl w:val="0"/>
          <w:numId w:val="13"/>
        </w:numPr>
        <w:ind w:left="567" w:hanging="567"/>
      </w:pPr>
      <w:r w:rsidRPr="0041776F">
        <w:t xml:space="preserve">Vedlægge og udfylde: </w:t>
      </w:r>
    </w:p>
    <w:p w14:paraId="654AB466" w14:textId="77777777" w:rsidR="00B8410E" w:rsidRPr="0041776F" w:rsidRDefault="00B8410E" w:rsidP="00B8410E">
      <w:pPr>
        <w:pStyle w:val="Listeafsnit"/>
        <w:numPr>
          <w:ilvl w:val="0"/>
          <w:numId w:val="14"/>
        </w:numPr>
        <w:ind w:left="1134" w:hanging="567"/>
      </w:pPr>
      <w:r>
        <w:t xml:space="preserve">Jeres </w:t>
      </w:r>
      <w:r w:rsidRPr="0041776F">
        <w:t xml:space="preserve">instruks til </w:t>
      </w:r>
      <w:r>
        <w:t xml:space="preserve">jeres databehandler </w:t>
      </w:r>
      <w:r w:rsidRPr="0041776F">
        <w:t xml:space="preserve">som bilag </w:t>
      </w:r>
      <w:r w:rsidRPr="0041776F">
        <w:fldChar w:fldCharType="begin"/>
      </w:r>
      <w:r w:rsidRPr="0041776F">
        <w:instrText xml:space="preserve"> REF _Ref487707222 \r \h </w:instrText>
      </w:r>
      <w:r w:rsidRPr="0041776F">
        <w:fldChar w:fldCharType="separate"/>
      </w:r>
      <w:r>
        <w:t>2.3</w:t>
      </w:r>
      <w:r w:rsidRPr="0041776F">
        <w:fldChar w:fldCharType="end"/>
      </w:r>
      <w:r w:rsidRPr="0041776F">
        <w:t xml:space="preserve">, </w:t>
      </w:r>
      <w:r>
        <w:t>Denne skal I udfylde inden og sende i pdf til databehandleren</w:t>
      </w:r>
      <w:r w:rsidRPr="0041776F">
        <w:t xml:space="preserve">) </w:t>
      </w:r>
    </w:p>
    <w:p w14:paraId="7DF79188" w14:textId="77777777" w:rsidR="00B8410E" w:rsidRPr="0041776F" w:rsidRDefault="00B8410E" w:rsidP="00B8410E">
      <w:pPr>
        <w:pStyle w:val="Listeafsnit"/>
        <w:numPr>
          <w:ilvl w:val="0"/>
          <w:numId w:val="14"/>
        </w:numPr>
        <w:ind w:left="1134" w:hanging="567"/>
      </w:pPr>
      <w:r>
        <w:t xml:space="preserve">Databehandleren skal udfylde oversigten </w:t>
      </w:r>
      <w:r w:rsidRPr="0041776F">
        <w:t xml:space="preserve">over underdatabehandlere som bilag </w:t>
      </w:r>
      <w:r w:rsidRPr="0041776F">
        <w:fldChar w:fldCharType="begin"/>
      </w:r>
      <w:r w:rsidRPr="0041776F">
        <w:instrText xml:space="preserve"> REF _Ref508266120 \r \h </w:instrText>
      </w:r>
      <w:r w:rsidRPr="0041776F">
        <w:fldChar w:fldCharType="separate"/>
      </w:r>
      <w:r>
        <w:t>6.1</w:t>
      </w:r>
      <w:r w:rsidRPr="0041776F">
        <w:fldChar w:fldCharType="end"/>
      </w:r>
      <w:r w:rsidRPr="0041776F">
        <w:t xml:space="preserve"> og</w:t>
      </w:r>
    </w:p>
    <w:p w14:paraId="1D96FE80" w14:textId="77777777" w:rsidR="00B8410E" w:rsidRPr="0041776F" w:rsidRDefault="00B8410E" w:rsidP="00B8410E">
      <w:pPr>
        <w:pStyle w:val="Listeafsnit"/>
        <w:numPr>
          <w:ilvl w:val="0"/>
          <w:numId w:val="14"/>
        </w:numPr>
        <w:ind w:left="1134" w:hanging="567"/>
      </w:pPr>
      <w:r>
        <w:t xml:space="preserve">Databehandleren skal udfylde </w:t>
      </w:r>
      <w:r w:rsidRPr="0041776F">
        <w:t xml:space="preserve">en beskrivelse af sikkerhedsforanstaltninger som bilag </w:t>
      </w:r>
      <w:r w:rsidRPr="0041776F">
        <w:fldChar w:fldCharType="begin"/>
      </w:r>
      <w:r w:rsidRPr="0041776F">
        <w:instrText xml:space="preserve"> REF _Ref477515343 \r \h </w:instrText>
      </w:r>
      <w:r w:rsidRPr="0041776F">
        <w:fldChar w:fldCharType="separate"/>
      </w:r>
      <w:r>
        <w:t>7.2</w:t>
      </w:r>
      <w:r w:rsidRPr="0041776F">
        <w:fldChar w:fldCharType="end"/>
      </w:r>
      <w:r w:rsidRPr="0041776F">
        <w:t>.</w:t>
      </w:r>
    </w:p>
    <w:p w14:paraId="44AE4426" w14:textId="77777777" w:rsidR="00B8410E" w:rsidRPr="0041776F" w:rsidRDefault="00B8410E" w:rsidP="00B8410E">
      <w:pPr>
        <w:pStyle w:val="Listeafsnit"/>
        <w:ind w:left="1134"/>
      </w:pPr>
    </w:p>
    <w:p w14:paraId="6C7942DD" w14:textId="77777777" w:rsidR="00B8410E" w:rsidRDefault="00B8410E" w:rsidP="00B8410E">
      <w:pPr>
        <w:pStyle w:val="Listeafsnit"/>
        <w:numPr>
          <w:ilvl w:val="0"/>
          <w:numId w:val="13"/>
        </w:numPr>
        <w:ind w:left="567" w:hanging="567"/>
      </w:pPr>
      <w:r>
        <w:t xml:space="preserve">Husk: </w:t>
      </w:r>
      <w:r w:rsidRPr="0041776F">
        <w:t xml:space="preserve">Altid at slette vejledningen til udfyldelse af databehandleraftalen og at omdanne databehandleraftalen til en PDF-fil, før den </w:t>
      </w:r>
      <w:r>
        <w:t xml:space="preserve">sendes </w:t>
      </w:r>
      <w:r w:rsidRPr="0041776F">
        <w:t>til data</w:t>
      </w:r>
      <w:r>
        <w:t>behandleren</w:t>
      </w:r>
      <w:r w:rsidRPr="0041776F">
        <w:t>.</w:t>
      </w:r>
    </w:p>
    <w:p w14:paraId="0307090E" w14:textId="77777777" w:rsidR="00B8410E" w:rsidRDefault="00B8410E" w:rsidP="00B8410E"/>
    <w:p w14:paraId="3FF31FCC" w14:textId="77777777" w:rsidR="00B8410E" w:rsidRDefault="00B8410E" w:rsidP="00B8410E"/>
    <w:p w14:paraId="6D17BA6A" w14:textId="77777777" w:rsidR="00B8410E" w:rsidRDefault="00B8410E" w:rsidP="00B8410E"/>
    <w:p w14:paraId="4257552A" w14:textId="77777777" w:rsidR="00B8410E" w:rsidRPr="0041776F" w:rsidRDefault="00B8410E" w:rsidP="00B8410E">
      <w:r w:rsidRPr="0041776F">
        <w:t xml:space="preserve"> </w:t>
      </w:r>
    </w:p>
    <w:p w14:paraId="45AD298B" w14:textId="7C41626F" w:rsidR="00B8410E" w:rsidRDefault="00B8410E" w:rsidP="00B8410E">
      <w:pPr>
        <w:rPr>
          <w:rFonts w:eastAsiaTheme="majorEastAsia" w:cstheme="majorBidi"/>
          <w:b/>
          <w:caps/>
          <w:szCs w:val="52"/>
        </w:rPr>
      </w:pPr>
    </w:p>
    <w:p w14:paraId="1F1FA193" w14:textId="77777777" w:rsidR="00B8410E" w:rsidRPr="00B8410E" w:rsidRDefault="00B8410E" w:rsidP="00B8410E">
      <w:pPr>
        <w:pStyle w:val="Overskrift10"/>
        <w:jc w:val="center"/>
        <w:rPr>
          <w:sz w:val="44"/>
          <w:szCs w:val="44"/>
        </w:rPr>
      </w:pPr>
      <w:r w:rsidRPr="00B8410E">
        <w:rPr>
          <w:sz w:val="44"/>
          <w:szCs w:val="44"/>
        </w:rPr>
        <w:lastRenderedPageBreak/>
        <w:t>Databehandleraftale</w:t>
      </w:r>
    </w:p>
    <w:p w14:paraId="1B864358" w14:textId="77777777" w:rsidR="00B8410E" w:rsidRPr="0041776F" w:rsidRDefault="00B8410E" w:rsidP="00B8410E"/>
    <w:p w14:paraId="08D250A1" w14:textId="77777777" w:rsidR="00B8410E" w:rsidRPr="0041776F" w:rsidRDefault="00B8410E" w:rsidP="00B8410E"/>
    <w:p w14:paraId="076BD2CF" w14:textId="77777777" w:rsidR="00B8410E" w:rsidRPr="0041776F" w:rsidRDefault="00B8410E" w:rsidP="00B8410E">
      <w:r w:rsidRPr="0041776F">
        <w:t>Denne databehandleraftale ("</w:t>
      </w:r>
      <w:r w:rsidRPr="0041776F">
        <w:rPr>
          <w:b/>
        </w:rPr>
        <w:t>Databehandleraftale</w:t>
      </w:r>
      <w:r w:rsidRPr="0041776F">
        <w:t>") er indgået mellem</w:t>
      </w:r>
    </w:p>
    <w:p w14:paraId="4E830A04" w14:textId="77777777" w:rsidR="00B8410E" w:rsidRPr="0041776F" w:rsidRDefault="00B8410E" w:rsidP="00B8410E"/>
    <w:p w14:paraId="14242BD9" w14:textId="77777777" w:rsidR="00B8410E" w:rsidRPr="0041776F" w:rsidRDefault="00B8410E" w:rsidP="00B8410E">
      <w:pPr>
        <w:pStyle w:val="Normalindrykning"/>
      </w:pPr>
      <w:r w:rsidRPr="0041776F">
        <w:t>[</w:t>
      </w:r>
      <w:r w:rsidRPr="0041776F">
        <w:rPr>
          <w:highlight w:val="yellow"/>
        </w:rPr>
        <w:t>Indsæt navn på Kunden</w:t>
      </w:r>
      <w:r w:rsidRPr="0041776F">
        <w:t>], CVR-nr.: [</w:t>
      </w:r>
      <w:r w:rsidRPr="0041776F">
        <w:rPr>
          <w:highlight w:val="yellow"/>
        </w:rPr>
        <w:t>indsæt nummer</w:t>
      </w:r>
      <w:r w:rsidRPr="0041776F">
        <w:t>], [</w:t>
      </w:r>
      <w:r w:rsidRPr="0041776F">
        <w:rPr>
          <w:highlight w:val="yellow"/>
        </w:rPr>
        <w:t>indsæt adresse</w:t>
      </w:r>
      <w:r w:rsidRPr="0041776F">
        <w:t>], [</w:t>
      </w:r>
      <w:r w:rsidRPr="0041776F">
        <w:rPr>
          <w:highlight w:val="yellow"/>
        </w:rPr>
        <w:t>indsæt land</w:t>
      </w:r>
      <w:r w:rsidRPr="0041776F">
        <w:t>], ("</w:t>
      </w:r>
      <w:r>
        <w:rPr>
          <w:b/>
        </w:rPr>
        <w:t>Dataansvarlige</w:t>
      </w:r>
      <w:r w:rsidRPr="0041776F">
        <w:t>")</w:t>
      </w:r>
    </w:p>
    <w:p w14:paraId="4AB2E8FE" w14:textId="77777777" w:rsidR="00B8410E" w:rsidRPr="0041776F" w:rsidRDefault="00B8410E" w:rsidP="00B8410E">
      <w:pPr>
        <w:pStyle w:val="Normalindrykning"/>
      </w:pPr>
    </w:p>
    <w:p w14:paraId="4CA124DA" w14:textId="77777777" w:rsidR="00B8410E" w:rsidRPr="0041776F" w:rsidRDefault="00B8410E" w:rsidP="00B8410E">
      <w:pPr>
        <w:pStyle w:val="Normalindrykning"/>
      </w:pPr>
      <w:r w:rsidRPr="0041776F">
        <w:t>og</w:t>
      </w:r>
    </w:p>
    <w:p w14:paraId="5D0F8B19" w14:textId="77777777" w:rsidR="00B8410E" w:rsidRPr="0041776F" w:rsidRDefault="00B8410E" w:rsidP="00B8410E">
      <w:pPr>
        <w:pStyle w:val="Normalindrykning"/>
      </w:pPr>
    </w:p>
    <w:p w14:paraId="385817FF" w14:textId="77777777" w:rsidR="00B8410E" w:rsidRPr="0041776F" w:rsidRDefault="00B8410E" w:rsidP="00B8410E">
      <w:pPr>
        <w:pStyle w:val="Normalindrykning"/>
      </w:pPr>
      <w:r>
        <w:rPr>
          <w:highlight w:val="yellow"/>
        </w:rPr>
        <w:t>[</w:t>
      </w:r>
      <w:r w:rsidRPr="00AD650A">
        <w:rPr>
          <w:highlight w:val="yellow"/>
        </w:rPr>
        <w:t>Indsæt navn på klien</w:t>
      </w:r>
      <w:r>
        <w:t>t]</w:t>
      </w:r>
      <w:r w:rsidRPr="0041776F">
        <w:t xml:space="preserve">, CVR-nr.: </w:t>
      </w:r>
      <w:r>
        <w:t>[</w:t>
      </w:r>
      <w:r w:rsidRPr="00AD650A">
        <w:rPr>
          <w:highlight w:val="yellow"/>
        </w:rPr>
        <w:t>Indsæt CVR-nr.</w:t>
      </w:r>
      <w:r>
        <w:t>]</w:t>
      </w:r>
      <w:r w:rsidRPr="0041776F">
        <w:t xml:space="preserve">, beliggende på </w:t>
      </w:r>
      <w:r>
        <w:t>[</w:t>
      </w:r>
      <w:r w:rsidRPr="00AD650A">
        <w:rPr>
          <w:highlight w:val="yellow"/>
        </w:rPr>
        <w:t>indsæt adresse</w:t>
      </w:r>
      <w:r>
        <w:t>]</w:t>
      </w:r>
      <w:r w:rsidRPr="0041776F">
        <w:t xml:space="preserve"> (”</w:t>
      </w:r>
      <w:r w:rsidRPr="003E51AF">
        <w:rPr>
          <w:b/>
        </w:rPr>
        <w:t>Databehandler</w:t>
      </w:r>
      <w:r w:rsidRPr="0041776F">
        <w:t xml:space="preserve">”) </w:t>
      </w:r>
    </w:p>
    <w:p w14:paraId="269D6A47" w14:textId="77777777" w:rsidR="00B8410E" w:rsidRPr="0041776F" w:rsidRDefault="00B8410E" w:rsidP="00B8410E">
      <w:pPr>
        <w:pStyle w:val="Normalindrykning"/>
      </w:pPr>
    </w:p>
    <w:p w14:paraId="0002FB11" w14:textId="77777777" w:rsidR="00B8410E" w:rsidRPr="0041776F" w:rsidRDefault="00B8410E" w:rsidP="00B8410E">
      <w:r w:rsidRPr="0041776F">
        <w:t>Hver for sig en ”</w:t>
      </w:r>
      <w:r w:rsidRPr="0041776F">
        <w:rPr>
          <w:b/>
        </w:rPr>
        <w:t>Part</w:t>
      </w:r>
      <w:r w:rsidRPr="0041776F">
        <w:t>” og i fællesskab ”</w:t>
      </w:r>
      <w:r w:rsidRPr="0041776F">
        <w:rPr>
          <w:b/>
        </w:rPr>
        <w:t>Parterne</w:t>
      </w:r>
      <w:r w:rsidRPr="0041776F">
        <w:t>”.</w:t>
      </w:r>
    </w:p>
    <w:p w14:paraId="0D66636A" w14:textId="77777777" w:rsidR="00B8410E" w:rsidRPr="0041776F" w:rsidRDefault="00B8410E" w:rsidP="00B8410E"/>
    <w:p w14:paraId="2C00A1BE" w14:textId="77777777" w:rsidR="00B8410E" w:rsidRPr="0041776F" w:rsidRDefault="00B8410E" w:rsidP="00B8410E">
      <w:pPr>
        <w:pStyle w:val="Overskrift1"/>
        <w:tabs>
          <w:tab w:val="left" w:pos="1304"/>
        </w:tabs>
        <w:ind w:left="850" w:hanging="850"/>
      </w:pPr>
      <w:r w:rsidRPr="0041776F">
        <w:t>Baggrund og indledning</w:t>
      </w:r>
    </w:p>
    <w:p w14:paraId="2F49BB39" w14:textId="77777777" w:rsidR="00B8410E" w:rsidRPr="0041776F" w:rsidRDefault="00B8410E" w:rsidP="00B8410E">
      <w:pPr>
        <w:pStyle w:val="OpstilmstregAlts"/>
        <w:spacing w:after="180"/>
        <w:ind w:left="851" w:hanging="567"/>
      </w:pPr>
      <w:r w:rsidRPr="0041776F">
        <w:t>Parterne har indgået en aftale om levering af ydelser fra</w:t>
      </w:r>
      <w:r>
        <w:t xml:space="preserve"> [</w:t>
      </w:r>
      <w:r w:rsidRPr="00AD650A">
        <w:rPr>
          <w:highlight w:val="yellow"/>
        </w:rPr>
        <w:t>indsæt navn</w:t>
      </w:r>
      <w:r>
        <w:t>]</w:t>
      </w:r>
      <w:r w:rsidRPr="0041776F">
        <w:t xml:space="preserve"> </w:t>
      </w:r>
      <w:r>
        <w:t xml:space="preserve">til </w:t>
      </w:r>
      <w:r w:rsidRPr="0041776F">
        <w:t>[</w:t>
      </w:r>
      <w:r w:rsidRPr="00AD650A">
        <w:rPr>
          <w:highlight w:val="yellow"/>
        </w:rPr>
        <w:t xml:space="preserve">Indsæt </w:t>
      </w:r>
      <w:r>
        <w:rPr>
          <w:highlight w:val="yellow"/>
        </w:rPr>
        <w:t xml:space="preserve">eget </w:t>
      </w:r>
      <w:r w:rsidRPr="00AD650A">
        <w:rPr>
          <w:highlight w:val="yellow"/>
        </w:rPr>
        <w:t>navn</w:t>
      </w:r>
      <w:r w:rsidRPr="0041776F">
        <w:t>]</w:t>
      </w:r>
      <w:r>
        <w:t xml:space="preserve">. Aftalen er indgået </w:t>
      </w:r>
      <w:r w:rsidRPr="0041776F">
        <w:t>den [</w:t>
      </w:r>
      <w:r w:rsidRPr="00AD650A">
        <w:rPr>
          <w:highlight w:val="yellow"/>
        </w:rPr>
        <w:t>Indsæt dato</w:t>
      </w:r>
      <w:r w:rsidRPr="0041776F">
        <w:t>] (”</w:t>
      </w:r>
      <w:r w:rsidRPr="00AD650A">
        <w:rPr>
          <w:b/>
        </w:rPr>
        <w:t>Leveringsaftalen</w:t>
      </w:r>
      <w:r w:rsidRPr="0041776F">
        <w:t>”), og som bilag til Leveringsaftalen indgås hermed denne Databehandleraftale.</w:t>
      </w:r>
    </w:p>
    <w:p w14:paraId="3AA03696" w14:textId="77777777" w:rsidR="00B8410E" w:rsidRPr="0041776F" w:rsidRDefault="00B8410E" w:rsidP="00B8410E">
      <w:pPr>
        <w:pStyle w:val="OpstilmstregAlts"/>
        <w:spacing w:after="180"/>
        <w:ind w:left="851" w:hanging="567"/>
        <w:rPr>
          <w:rStyle w:val="Strk"/>
          <w:b w:val="0"/>
          <w:bCs w:val="0"/>
        </w:rPr>
      </w:pPr>
      <w:r w:rsidRPr="0041776F">
        <w:t>Databehandleraftalen fastsætter de rettigheder og forpligtelser, som finder anvendelse, når</w:t>
      </w:r>
      <w:r>
        <w:t xml:space="preserve"> Databehandleren </w:t>
      </w:r>
      <w:r w:rsidRPr="0041776F">
        <w:t xml:space="preserve">foretager behandling af personoplysninger på vegne af </w:t>
      </w:r>
      <w:r>
        <w:t>den Dataansvarlige</w:t>
      </w:r>
      <w:r w:rsidRPr="0041776F">
        <w:t xml:space="preserve">, og Databehandleraftalen er udformet med henblik på Parternes efterlevelse af artikel 28, stk. 3 i </w:t>
      </w:r>
      <w:r w:rsidRPr="0041776F">
        <w:rPr>
          <w:rStyle w:val="Strk"/>
        </w:rPr>
        <w:t xml:space="preserve">Databeskyttelsesforordningen. </w:t>
      </w:r>
    </w:p>
    <w:p w14:paraId="2F5AF584" w14:textId="77777777" w:rsidR="00B8410E" w:rsidRPr="0041776F" w:rsidRDefault="00B8410E" w:rsidP="00B8410E">
      <w:pPr>
        <w:pStyle w:val="OpstilmstregAlts"/>
        <w:ind w:left="851" w:hanging="567"/>
      </w:pPr>
      <w:r w:rsidRPr="0041776F">
        <w:t>Databehandleraftalen er vedlagt fire bilag, der fungerer som integrerede dele af Databehandleraftalen:</w:t>
      </w:r>
    </w:p>
    <w:p w14:paraId="4F89A304" w14:textId="77777777" w:rsidR="00B8410E" w:rsidRPr="0041776F" w:rsidRDefault="00B8410E" w:rsidP="00B8410E">
      <w:pPr>
        <w:pStyle w:val="OpstilmstregAlts"/>
        <w:numPr>
          <w:ilvl w:val="0"/>
          <w:numId w:val="0"/>
        </w:numPr>
        <w:ind w:left="851" w:hanging="567"/>
      </w:pPr>
    </w:p>
    <w:p w14:paraId="6E3FB707" w14:textId="77777777" w:rsidR="00B8410E" w:rsidRPr="0041776F" w:rsidRDefault="00B8410E" w:rsidP="00B8410E">
      <w:pPr>
        <w:pStyle w:val="OpstilmstregAlts"/>
        <w:ind w:left="1418" w:hanging="567"/>
      </w:pPr>
      <w:r w:rsidRPr="0041776F">
        <w:t xml:space="preserve">Bilag </w:t>
      </w:r>
      <w:r>
        <w:fldChar w:fldCharType="begin"/>
      </w:r>
      <w:r>
        <w:instrText xml:space="preserve"> REF _Ref513115054 \r \h </w:instrText>
      </w:r>
      <w:r>
        <w:fldChar w:fldCharType="separate"/>
      </w:r>
      <w:r>
        <w:t>2.3</w:t>
      </w:r>
      <w:r>
        <w:fldChar w:fldCharType="end"/>
      </w:r>
      <w:r w:rsidRPr="0041776F">
        <w:t xml:space="preserve"> indeholder </w:t>
      </w:r>
      <w:r>
        <w:t>den Dataansvarlige</w:t>
      </w:r>
      <w:r w:rsidRPr="0041776F">
        <w:t xml:space="preserve">s instruks til </w:t>
      </w:r>
      <w:r>
        <w:t xml:space="preserve">Databehandleren </w:t>
      </w:r>
      <w:r w:rsidRPr="0041776F">
        <w:t xml:space="preserve">om, hvilken behandling </w:t>
      </w:r>
      <w:r>
        <w:t xml:space="preserve">der </w:t>
      </w:r>
      <w:r w:rsidRPr="0041776F">
        <w:t>skal foretage</w:t>
      </w:r>
      <w:r>
        <w:t>s</w:t>
      </w:r>
      <w:r w:rsidRPr="0041776F">
        <w:t>, og de</w:t>
      </w:r>
      <w:r>
        <w:t xml:space="preserve">n type af </w:t>
      </w:r>
      <w:r w:rsidRPr="0041776F">
        <w:t>Persondata</w:t>
      </w:r>
      <w:r>
        <w:t xml:space="preserve">, som </w:t>
      </w:r>
      <w:r w:rsidRPr="0041776F">
        <w:t>Behandlingen omfatter.</w:t>
      </w:r>
    </w:p>
    <w:p w14:paraId="1D5D7AEF" w14:textId="77777777" w:rsidR="00B8410E" w:rsidRPr="0041776F" w:rsidRDefault="00B8410E" w:rsidP="00B8410E">
      <w:pPr>
        <w:pStyle w:val="OpstilmstregAlts"/>
        <w:ind w:left="1418" w:hanging="567"/>
      </w:pPr>
      <w:r w:rsidRPr="0041776F">
        <w:t xml:space="preserve">Bilag </w:t>
      </w:r>
      <w:r w:rsidRPr="0041776F">
        <w:fldChar w:fldCharType="begin"/>
      </w:r>
      <w:r w:rsidRPr="0041776F">
        <w:instrText xml:space="preserve"> REF _Ref508266120 \r \h </w:instrText>
      </w:r>
      <w:r w:rsidRPr="0041776F">
        <w:fldChar w:fldCharType="separate"/>
      </w:r>
      <w:r>
        <w:t>6.1</w:t>
      </w:r>
      <w:r w:rsidRPr="0041776F">
        <w:fldChar w:fldCharType="end"/>
      </w:r>
      <w:r w:rsidRPr="0041776F">
        <w:t xml:space="preserve"> indeholder </w:t>
      </w:r>
      <w:r>
        <w:t xml:space="preserve">Den Dataansvarliges </w:t>
      </w:r>
      <w:r w:rsidRPr="0041776F">
        <w:t xml:space="preserve">betingelser for, at </w:t>
      </w:r>
      <w:r>
        <w:t xml:space="preserve">Databehandleren </w:t>
      </w:r>
      <w:r w:rsidRPr="0041776F">
        <w:t xml:space="preserve">kan gøre brug af eventuelle underdatabehandlere, samt en liste over de eventuelle underdatabehandlere, som den </w:t>
      </w:r>
      <w:r>
        <w:t xml:space="preserve">Dataansvarlige </w:t>
      </w:r>
      <w:r w:rsidRPr="0041776F">
        <w:t xml:space="preserve">har godkendt. </w:t>
      </w:r>
    </w:p>
    <w:p w14:paraId="2641F22D" w14:textId="77777777" w:rsidR="00B8410E" w:rsidRPr="0041776F" w:rsidRDefault="00B8410E" w:rsidP="00B8410E">
      <w:pPr>
        <w:pStyle w:val="OpstilmstregAlts"/>
        <w:ind w:left="1418" w:hanging="567"/>
      </w:pPr>
      <w:r w:rsidRPr="0041776F">
        <w:t xml:space="preserve">Bilag </w:t>
      </w:r>
      <w:r w:rsidRPr="0041776F">
        <w:fldChar w:fldCharType="begin"/>
      </w:r>
      <w:r w:rsidRPr="0041776F">
        <w:instrText xml:space="preserve"> REF _Ref477515343 \r \h </w:instrText>
      </w:r>
      <w:r w:rsidRPr="0041776F">
        <w:fldChar w:fldCharType="separate"/>
      </w:r>
      <w:r>
        <w:t>7.2</w:t>
      </w:r>
      <w:r w:rsidRPr="0041776F">
        <w:fldChar w:fldCharType="end"/>
      </w:r>
      <w:r w:rsidRPr="0041776F">
        <w:t xml:space="preserve"> indeholder en beskrivelse af </w:t>
      </w:r>
      <w:r>
        <w:t>Databehandlerens</w:t>
      </w:r>
      <w:r w:rsidRPr="0041776F">
        <w:t xml:space="preserve"> nærmere sikkerhedsforanstaltninger. </w:t>
      </w:r>
    </w:p>
    <w:p w14:paraId="4AF46989" w14:textId="77777777" w:rsidR="00B8410E" w:rsidRPr="0041776F" w:rsidRDefault="00B8410E" w:rsidP="00B8410E">
      <w:pPr>
        <w:rPr>
          <w:b/>
          <w:caps/>
        </w:rPr>
      </w:pPr>
    </w:p>
    <w:p w14:paraId="1D8187A9" w14:textId="77777777" w:rsidR="00B8410E" w:rsidRPr="0041776F" w:rsidRDefault="00B8410E" w:rsidP="00B8410E">
      <w:pPr>
        <w:pStyle w:val="Overskrift1"/>
        <w:numPr>
          <w:ilvl w:val="0"/>
          <w:numId w:val="6"/>
        </w:numPr>
      </w:pPr>
      <w:r w:rsidRPr="0041776F">
        <w:t>Definitioner og fortolkning</w:t>
      </w:r>
    </w:p>
    <w:p w14:paraId="0D3E1E89" w14:textId="77777777" w:rsidR="00B8410E" w:rsidRPr="0041776F" w:rsidRDefault="00B8410E" w:rsidP="00B8410E">
      <w:pPr>
        <w:pStyle w:val="Niveau2"/>
        <w:numPr>
          <w:ilvl w:val="1"/>
          <w:numId w:val="6"/>
        </w:numPr>
        <w:rPr>
          <w:b/>
        </w:rPr>
      </w:pPr>
      <w:bookmarkStart w:id="0" w:name="_Ref508967984"/>
      <w:r w:rsidRPr="0041776F">
        <w:t>Listen nedenfor angiver definitionen for de oplistede begreber, der anvendes i Databehandleraftalen. Uanset, at en definition er angivet i ental, omfatter definitionen også flertal og omvendt. Henvisninger til bilag, afsnit og underafsnit skal forstås som henvisninger til bilag, afsnit og underafsnit i Databehandleraftalen medmindre andet fremgår udtrykkeligt eller er åbenlyst ud fra konteksten.</w:t>
      </w:r>
      <w:bookmarkEnd w:id="0"/>
      <w:r w:rsidRPr="0041776F">
        <w:t xml:space="preserve"> </w:t>
      </w:r>
    </w:p>
    <w:tbl>
      <w:tblPr>
        <w:tblW w:w="8676" w:type="dxa"/>
        <w:tblInd w:w="822" w:type="dxa"/>
        <w:tblLayout w:type="fixed"/>
        <w:tblCellMar>
          <w:left w:w="113" w:type="dxa"/>
          <w:right w:w="70" w:type="dxa"/>
        </w:tblCellMar>
        <w:tblLook w:val="04A0" w:firstRow="1" w:lastRow="0" w:firstColumn="1" w:lastColumn="0" w:noHBand="0" w:noVBand="1"/>
      </w:tblPr>
      <w:tblGrid>
        <w:gridCol w:w="2551"/>
        <w:gridCol w:w="6125"/>
      </w:tblGrid>
      <w:tr w:rsidR="00B8410E" w:rsidRPr="0041776F" w14:paraId="7287BF38" w14:textId="77777777" w:rsidTr="000079DA">
        <w:tc>
          <w:tcPr>
            <w:tcW w:w="2551" w:type="dxa"/>
          </w:tcPr>
          <w:p w14:paraId="232633D4" w14:textId="77777777" w:rsidR="00B8410E" w:rsidRPr="0041776F" w:rsidRDefault="00B8410E" w:rsidP="000079DA">
            <w:pPr>
              <w:suppressAutoHyphens/>
              <w:spacing w:before="60" w:after="60"/>
              <w:rPr>
                <w:b/>
              </w:rPr>
            </w:pPr>
            <w:r w:rsidRPr="0041776F">
              <w:rPr>
                <w:b/>
              </w:rPr>
              <w:t>Behandling</w:t>
            </w:r>
          </w:p>
        </w:tc>
        <w:tc>
          <w:tcPr>
            <w:tcW w:w="6125" w:type="dxa"/>
          </w:tcPr>
          <w:p w14:paraId="0B9F1F7D" w14:textId="77777777" w:rsidR="00B8410E" w:rsidRPr="0041776F" w:rsidRDefault="00B8410E" w:rsidP="000079DA">
            <w:pPr>
              <w:suppressAutoHyphens/>
              <w:spacing w:before="60" w:after="60"/>
              <w:ind w:left="-70"/>
              <w:rPr>
                <w:color w:val="000000" w:themeColor="text1"/>
              </w:rPr>
            </w:pPr>
            <w:r w:rsidRPr="0041776F">
              <w:rPr>
                <w:color w:val="000000" w:themeColor="text1"/>
              </w:rPr>
              <w:t xml:space="preserve">betyder enhver aktivitet eller række af aktiviteter som Persondata gøres til genstand for, hvad end aktiviteten sker med eller uden brug af automatisk behandling, og kan omfatte overførelse af Persondata til ethvert land indenfor </w:t>
            </w:r>
            <w:r w:rsidRPr="0041776F">
              <w:rPr>
                <w:color w:val="000000" w:themeColor="text1"/>
              </w:rPr>
              <w:lastRenderedPageBreak/>
              <w:t>EU og indenfor Det Europæiske Økonomiske Samarbejdsområde såvel som lande, der anses for at have et tilsvarende beskyttelsesniveau.</w:t>
            </w:r>
          </w:p>
        </w:tc>
      </w:tr>
      <w:tr w:rsidR="00B8410E" w:rsidRPr="0041776F" w14:paraId="22F5D121" w14:textId="77777777" w:rsidTr="000079DA">
        <w:tc>
          <w:tcPr>
            <w:tcW w:w="2551" w:type="dxa"/>
          </w:tcPr>
          <w:p w14:paraId="5CBFCC1E" w14:textId="77777777" w:rsidR="00B8410E" w:rsidRPr="0041776F" w:rsidRDefault="00B8410E" w:rsidP="000079DA">
            <w:pPr>
              <w:suppressAutoHyphens/>
              <w:spacing w:before="60" w:after="60"/>
              <w:rPr>
                <w:b/>
              </w:rPr>
            </w:pPr>
            <w:r w:rsidRPr="0041776F">
              <w:rPr>
                <w:b/>
              </w:rPr>
              <w:lastRenderedPageBreak/>
              <w:t>Dataansvarlig</w:t>
            </w:r>
          </w:p>
        </w:tc>
        <w:tc>
          <w:tcPr>
            <w:tcW w:w="6125" w:type="dxa"/>
          </w:tcPr>
          <w:p w14:paraId="45066FA4" w14:textId="77777777" w:rsidR="00B8410E" w:rsidRPr="0041776F" w:rsidRDefault="00B8410E" w:rsidP="000079DA">
            <w:pPr>
              <w:suppressAutoHyphens/>
              <w:spacing w:before="60" w:after="60"/>
              <w:ind w:left="-70"/>
              <w:rPr>
                <w:color w:val="000000" w:themeColor="text1"/>
              </w:rPr>
            </w:pPr>
            <w:r w:rsidRPr="0041776F">
              <w:rPr>
                <w:color w:val="000000" w:themeColor="text1"/>
              </w:rPr>
              <w:t xml:space="preserve">betyder </w:t>
            </w:r>
            <w:r>
              <w:t xml:space="preserve">den person, </w:t>
            </w:r>
            <w:r w:rsidRPr="0041776F">
              <w:rPr>
                <w:color w:val="000000" w:themeColor="text1"/>
              </w:rPr>
              <w:t>der bestemmer formålet med Behandlingen af Persondata samt vilkårene for Behandlingen;</w:t>
            </w:r>
          </w:p>
        </w:tc>
      </w:tr>
      <w:tr w:rsidR="00B8410E" w:rsidRPr="0041776F" w14:paraId="7EF872E7" w14:textId="77777777" w:rsidTr="000079DA">
        <w:tc>
          <w:tcPr>
            <w:tcW w:w="2551" w:type="dxa"/>
          </w:tcPr>
          <w:p w14:paraId="4B649DB4" w14:textId="77777777" w:rsidR="00B8410E" w:rsidRPr="0041776F" w:rsidRDefault="00B8410E" w:rsidP="000079DA">
            <w:pPr>
              <w:suppressAutoHyphens/>
              <w:spacing w:before="60" w:after="60"/>
              <w:rPr>
                <w:b/>
              </w:rPr>
            </w:pPr>
            <w:r w:rsidRPr="0041776F">
              <w:rPr>
                <w:b/>
              </w:rPr>
              <w:t>Databehandler</w:t>
            </w:r>
          </w:p>
        </w:tc>
        <w:tc>
          <w:tcPr>
            <w:tcW w:w="6125" w:type="dxa"/>
          </w:tcPr>
          <w:p w14:paraId="6E02DD80" w14:textId="77777777" w:rsidR="00B8410E" w:rsidRPr="0041776F" w:rsidRDefault="00B8410E" w:rsidP="000079DA">
            <w:pPr>
              <w:suppressAutoHyphens/>
              <w:spacing w:before="60" w:after="60"/>
              <w:ind w:left="-70"/>
              <w:rPr>
                <w:color w:val="000000" w:themeColor="text1"/>
              </w:rPr>
            </w:pPr>
            <w:r w:rsidRPr="0041776F">
              <w:rPr>
                <w:color w:val="000000" w:themeColor="text1"/>
              </w:rPr>
              <w:t xml:space="preserve">betyder </w:t>
            </w:r>
            <w:r>
              <w:t>den person</w:t>
            </w:r>
            <w:r w:rsidRPr="0041776F">
              <w:rPr>
                <w:color w:val="000000" w:themeColor="text1"/>
              </w:rPr>
              <w:t xml:space="preserve">, som behandler Persondata på vegne af </w:t>
            </w:r>
            <w:r>
              <w:t>den Dataansvarlige</w:t>
            </w:r>
            <w:r w:rsidRPr="0041776F">
              <w:rPr>
                <w:color w:val="000000" w:themeColor="text1"/>
              </w:rPr>
              <w:t>.</w:t>
            </w:r>
          </w:p>
        </w:tc>
      </w:tr>
      <w:tr w:rsidR="00B8410E" w:rsidRPr="0041776F" w14:paraId="231D6EE7" w14:textId="77777777" w:rsidTr="000079DA">
        <w:tc>
          <w:tcPr>
            <w:tcW w:w="2551" w:type="dxa"/>
          </w:tcPr>
          <w:p w14:paraId="1C5D0E6B" w14:textId="77777777" w:rsidR="00B8410E" w:rsidRPr="0041776F" w:rsidRDefault="00B8410E" w:rsidP="000079DA">
            <w:pPr>
              <w:suppressAutoHyphens/>
              <w:spacing w:before="60" w:after="60"/>
              <w:rPr>
                <w:b/>
              </w:rPr>
            </w:pPr>
            <w:r w:rsidRPr="0041776F">
              <w:rPr>
                <w:b/>
              </w:rPr>
              <w:t>Databeskyttelses-forordningen</w:t>
            </w:r>
          </w:p>
        </w:tc>
        <w:tc>
          <w:tcPr>
            <w:tcW w:w="6125" w:type="dxa"/>
          </w:tcPr>
          <w:p w14:paraId="38FED425" w14:textId="77777777" w:rsidR="00B8410E" w:rsidRPr="0041776F" w:rsidRDefault="00B8410E" w:rsidP="000079DA">
            <w:pPr>
              <w:suppressAutoHyphens/>
              <w:spacing w:before="60" w:after="60"/>
              <w:ind w:left="-70"/>
              <w:rPr>
                <w:color w:val="000000" w:themeColor="text1"/>
              </w:rPr>
            </w:pPr>
            <w:r w:rsidRPr="0041776F">
              <w:rPr>
                <w:rStyle w:val="Strk"/>
              </w:rPr>
              <w:t>Europa-Parlamentets og Rådets forordning (EU) 2016/679 af 27. april 2016 om beskyttelse af fysiske personer i forbindelse med behandling af personoplysninger og om fri udveksling af sådanne oplysninger og om ophævelse af direktiv 95/46/EF</w:t>
            </w:r>
          </w:p>
        </w:tc>
      </w:tr>
      <w:tr w:rsidR="00B8410E" w:rsidRPr="0041776F" w14:paraId="1DB40937" w14:textId="77777777" w:rsidTr="000079DA">
        <w:tc>
          <w:tcPr>
            <w:tcW w:w="2551" w:type="dxa"/>
          </w:tcPr>
          <w:p w14:paraId="3B345721" w14:textId="77777777" w:rsidR="00B8410E" w:rsidRPr="0041776F" w:rsidRDefault="00B8410E" w:rsidP="000079DA">
            <w:pPr>
              <w:suppressAutoHyphens/>
              <w:spacing w:before="60" w:after="60"/>
              <w:rPr>
                <w:b/>
              </w:rPr>
            </w:pPr>
            <w:r w:rsidRPr="0041776F">
              <w:rPr>
                <w:b/>
              </w:rPr>
              <w:t>Datasubjekt</w:t>
            </w:r>
          </w:p>
        </w:tc>
        <w:tc>
          <w:tcPr>
            <w:tcW w:w="6125" w:type="dxa"/>
          </w:tcPr>
          <w:p w14:paraId="61FF6434"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den fysiske person, hvis Persondata bliver Behandlet.</w:t>
            </w:r>
          </w:p>
        </w:tc>
      </w:tr>
      <w:tr w:rsidR="00B8410E" w:rsidRPr="0041776F" w14:paraId="20B91BDD" w14:textId="77777777" w:rsidTr="000079DA">
        <w:tc>
          <w:tcPr>
            <w:tcW w:w="2551" w:type="dxa"/>
          </w:tcPr>
          <w:p w14:paraId="1ED25328" w14:textId="77777777" w:rsidR="00B8410E" w:rsidRPr="0041776F" w:rsidRDefault="00B8410E" w:rsidP="000079DA">
            <w:pPr>
              <w:suppressAutoHyphens/>
              <w:spacing w:before="60" w:after="60"/>
              <w:rPr>
                <w:b/>
              </w:rPr>
            </w:pPr>
            <w:r w:rsidRPr="0041776F">
              <w:rPr>
                <w:b/>
              </w:rPr>
              <w:t>Gældende Ret</w:t>
            </w:r>
          </w:p>
        </w:tc>
        <w:tc>
          <w:tcPr>
            <w:tcW w:w="6125" w:type="dxa"/>
          </w:tcPr>
          <w:p w14:paraId="05CCE6A6"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enhver af følgende reguleringer i det omfang disse er anvendelige overfor en Part: enhver vedtægt, forordning, lovgivning, primær eller sekundær regulering, inklusive gældende dansk ret og enhver national lovgivning om implementering vedrørende Direktiv 95/46/EF af 24. oktober 1995 såvel som den til enhver tid gældende Databeskyttelsesforordning, enhver bindende retsafgørelse eller dom, enhver anvendelig branchesædvane, politik eller standard, der kan håndhæves ved lov samt anvendelige anvisninger, politikker, krav, regler eller ordrer, som er udstedt af en myndighed;</w:t>
            </w:r>
          </w:p>
        </w:tc>
      </w:tr>
      <w:tr w:rsidR="00B8410E" w:rsidRPr="0041776F" w14:paraId="4F7A64A3" w14:textId="77777777" w:rsidTr="000079DA">
        <w:tc>
          <w:tcPr>
            <w:tcW w:w="2551" w:type="dxa"/>
            <w:hideMark/>
          </w:tcPr>
          <w:p w14:paraId="786EB18B" w14:textId="77777777" w:rsidR="00B8410E" w:rsidRPr="0041776F" w:rsidRDefault="00B8410E" w:rsidP="000079DA">
            <w:pPr>
              <w:suppressAutoHyphens/>
              <w:spacing w:before="60" w:after="60"/>
              <w:rPr>
                <w:b/>
              </w:rPr>
            </w:pPr>
            <w:r w:rsidRPr="0041776F">
              <w:rPr>
                <w:b/>
              </w:rPr>
              <w:t>Persondata</w:t>
            </w:r>
          </w:p>
        </w:tc>
        <w:tc>
          <w:tcPr>
            <w:tcW w:w="6125" w:type="dxa"/>
            <w:hideMark/>
          </w:tcPr>
          <w:p w14:paraId="499E0D8B"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enhver form for information om en identificeret eller identificerbar fysisk person (Datasubjektet); ved identificerbar fysisk person forstås en fysisk person, der direkte eller indirekte kan identificeres, navnlig ved en identifikator som defineret i Persondataforordningen, og som er indsamlet af den Dataansvarlige, Databehandleren eller af en hvilken som helst af disses virksomheders filialer, repræsentanter eller lignende.</w:t>
            </w:r>
          </w:p>
        </w:tc>
      </w:tr>
      <w:tr w:rsidR="00B8410E" w:rsidRPr="0041776F" w14:paraId="417328FB" w14:textId="77777777" w:rsidTr="000079DA">
        <w:tc>
          <w:tcPr>
            <w:tcW w:w="2551" w:type="dxa"/>
            <w:hideMark/>
          </w:tcPr>
          <w:p w14:paraId="2573A492" w14:textId="77777777" w:rsidR="00B8410E" w:rsidRPr="0041776F" w:rsidRDefault="00B8410E" w:rsidP="000079DA">
            <w:pPr>
              <w:suppressAutoHyphens/>
              <w:spacing w:before="60" w:after="60"/>
              <w:rPr>
                <w:b/>
              </w:rPr>
            </w:pPr>
            <w:r w:rsidRPr="0041776F">
              <w:rPr>
                <w:b/>
              </w:rPr>
              <w:t>Sikkerhedsbrud</w:t>
            </w:r>
          </w:p>
        </w:tc>
        <w:tc>
          <w:tcPr>
            <w:tcW w:w="6125" w:type="dxa"/>
            <w:hideMark/>
          </w:tcPr>
          <w:p w14:paraId="607D4955" w14:textId="77777777" w:rsidR="00B8410E" w:rsidRPr="0041776F" w:rsidRDefault="00B8410E" w:rsidP="000079DA">
            <w:pPr>
              <w:suppressAutoHyphens/>
              <w:spacing w:before="60" w:after="60"/>
              <w:ind w:left="-70"/>
              <w:rPr>
                <w:color w:val="000000" w:themeColor="text1"/>
              </w:rPr>
            </w:pPr>
            <w:r w:rsidRPr="0041776F">
              <w:rPr>
                <w:color w:val="000000" w:themeColor="text1"/>
              </w:rPr>
              <w:t xml:space="preserve">betyder </w:t>
            </w:r>
            <w:r w:rsidRPr="00AD650A">
              <w:rPr>
                <w:color w:val="000000" w:themeColor="text1"/>
              </w:rPr>
              <w:t>et brud på sikkerheden, der fører til hændelig eller ulovlig tilintetgørelse, tab, ændring, uautoriseret videregivelse af eller adgang til personoplysninger, der er transmitteret, opbevaret eller på anden måde beh</w:t>
            </w:r>
            <w:r>
              <w:rPr>
                <w:color w:val="000000" w:themeColor="text1"/>
              </w:rPr>
              <w:t xml:space="preserve">andlet. </w:t>
            </w:r>
          </w:p>
        </w:tc>
      </w:tr>
      <w:tr w:rsidR="00B8410E" w:rsidRPr="0041776F" w14:paraId="4B7FFA3C" w14:textId="77777777" w:rsidTr="000079DA">
        <w:tc>
          <w:tcPr>
            <w:tcW w:w="2551" w:type="dxa"/>
            <w:hideMark/>
          </w:tcPr>
          <w:p w14:paraId="79F7FC9F" w14:textId="77777777" w:rsidR="00B8410E" w:rsidRPr="0041776F" w:rsidRDefault="00B8410E" w:rsidP="000079DA">
            <w:pPr>
              <w:suppressAutoHyphens/>
              <w:spacing w:before="60" w:after="60"/>
              <w:rPr>
                <w:b/>
              </w:rPr>
            </w:pPr>
            <w:r w:rsidRPr="0041776F">
              <w:rPr>
                <w:b/>
              </w:rPr>
              <w:t>Tredjelande</w:t>
            </w:r>
          </w:p>
        </w:tc>
        <w:tc>
          <w:tcPr>
            <w:tcW w:w="6125" w:type="dxa"/>
            <w:hideMark/>
          </w:tcPr>
          <w:p w14:paraId="39A35EFE"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ethvert land uden for anvendelsesområdet for databeskyttelseslovgivningen i Det Europæiske Økonomiske Samarbejdsområde (EØS), med undtagelse af godkendte lande som Europa Kommissionen fra tid til anden vurderer har en tilstrækkelig beskyttelse af Persondata.</w:t>
            </w:r>
          </w:p>
        </w:tc>
      </w:tr>
      <w:tr w:rsidR="00B8410E" w:rsidRPr="0041776F" w14:paraId="3D1FB8F6" w14:textId="77777777" w:rsidTr="000079DA">
        <w:trPr>
          <w:trHeight w:val="563"/>
        </w:trPr>
        <w:tc>
          <w:tcPr>
            <w:tcW w:w="2551" w:type="dxa"/>
            <w:hideMark/>
          </w:tcPr>
          <w:p w14:paraId="07AF9FF9" w14:textId="77777777" w:rsidR="00B8410E" w:rsidRPr="0041776F" w:rsidRDefault="00B8410E" w:rsidP="000079DA">
            <w:pPr>
              <w:suppressAutoHyphens/>
              <w:spacing w:before="60" w:after="60"/>
              <w:rPr>
                <w:b/>
              </w:rPr>
            </w:pPr>
            <w:r w:rsidRPr="0041776F">
              <w:rPr>
                <w:b/>
              </w:rPr>
              <w:lastRenderedPageBreak/>
              <w:t>Underdatabehandler</w:t>
            </w:r>
          </w:p>
        </w:tc>
        <w:tc>
          <w:tcPr>
            <w:tcW w:w="6125" w:type="dxa"/>
            <w:hideMark/>
          </w:tcPr>
          <w:p w14:paraId="7798D491"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en underleverandør, der er udpeget af Databehandleren til at behandle Persondata på vegne af den Dataansvarlige under instruktion af Databehandleren.</w:t>
            </w:r>
          </w:p>
        </w:tc>
      </w:tr>
      <w:tr w:rsidR="00B8410E" w:rsidRPr="0041776F" w14:paraId="2609353E" w14:textId="77777777" w:rsidTr="000079DA">
        <w:tc>
          <w:tcPr>
            <w:tcW w:w="2551" w:type="dxa"/>
            <w:hideMark/>
          </w:tcPr>
          <w:p w14:paraId="050779A1" w14:textId="77777777" w:rsidR="00B8410E" w:rsidRPr="0041776F" w:rsidRDefault="00B8410E" w:rsidP="000079DA">
            <w:pPr>
              <w:suppressAutoHyphens/>
              <w:spacing w:before="60" w:after="60"/>
              <w:rPr>
                <w:b/>
              </w:rPr>
            </w:pPr>
            <w:r w:rsidRPr="0041776F">
              <w:rPr>
                <w:b/>
              </w:rPr>
              <w:t>Ydelser</w:t>
            </w:r>
          </w:p>
        </w:tc>
        <w:tc>
          <w:tcPr>
            <w:tcW w:w="6125" w:type="dxa"/>
            <w:hideMark/>
          </w:tcPr>
          <w:p w14:paraId="0AD1DB2D" w14:textId="77777777" w:rsidR="00B8410E" w:rsidRPr="0041776F" w:rsidRDefault="00B8410E" w:rsidP="000079DA">
            <w:pPr>
              <w:suppressAutoHyphens/>
              <w:spacing w:before="60" w:after="60"/>
              <w:ind w:left="-70"/>
              <w:rPr>
                <w:color w:val="000000" w:themeColor="text1"/>
              </w:rPr>
            </w:pPr>
            <w:r w:rsidRPr="0041776F">
              <w:rPr>
                <w:color w:val="000000" w:themeColor="text1"/>
              </w:rPr>
              <w:t>betyder de Ydelser som Databehandleren skal levere til den Dataansvarlige, eller som Underdatabehandleren skal levere til Databehandleren i henhold til Leveringsaftalen.</w:t>
            </w:r>
          </w:p>
          <w:p w14:paraId="2FD1FDFA" w14:textId="77777777" w:rsidR="00B8410E" w:rsidRPr="0041776F" w:rsidRDefault="00B8410E" w:rsidP="000079DA">
            <w:pPr>
              <w:suppressAutoHyphens/>
              <w:spacing w:before="60" w:after="60"/>
              <w:ind w:left="-70"/>
              <w:rPr>
                <w:color w:val="000000" w:themeColor="text1"/>
              </w:rPr>
            </w:pPr>
          </w:p>
        </w:tc>
      </w:tr>
    </w:tbl>
    <w:p w14:paraId="4A4C41B2" w14:textId="77777777" w:rsidR="00B8410E" w:rsidRPr="0041776F" w:rsidRDefault="00B8410E" w:rsidP="00B8410E">
      <w:pPr>
        <w:pStyle w:val="Niveau2"/>
        <w:numPr>
          <w:ilvl w:val="1"/>
          <w:numId w:val="6"/>
        </w:numPr>
      </w:pPr>
      <w:r w:rsidRPr="0041776F">
        <w:t xml:space="preserve">Bilagene til Databehandleraftalen udgør en integreret del af Databehandleraftalen og skal tillægges retskraft herefter, og enhver reference til Databehandleraftalen omfatter bilagene. </w:t>
      </w:r>
    </w:p>
    <w:p w14:paraId="6A813004" w14:textId="77777777" w:rsidR="00B8410E" w:rsidRPr="0041776F" w:rsidRDefault="00B8410E" w:rsidP="00B8410E">
      <w:pPr>
        <w:pStyle w:val="Niveau2"/>
        <w:numPr>
          <w:ilvl w:val="1"/>
          <w:numId w:val="6"/>
        </w:numPr>
      </w:pPr>
      <w:r w:rsidRPr="0041776F">
        <w:t xml:space="preserve">En reference til ”på skrift” eller ”skriftlig” betyder e-mail. </w:t>
      </w:r>
    </w:p>
    <w:p w14:paraId="791BE7EF" w14:textId="77777777" w:rsidR="00B8410E" w:rsidRPr="0041776F" w:rsidRDefault="00B8410E" w:rsidP="00B8410E">
      <w:pPr>
        <w:pStyle w:val="Niveau2"/>
        <w:numPr>
          <w:ilvl w:val="1"/>
          <w:numId w:val="6"/>
        </w:numPr>
      </w:pPr>
      <w:r w:rsidRPr="0041776F">
        <w:t>Overskrifterne i Databehandleraftalen er indsat for overskuelighedens skyld og til brug for referencer. Overskrifterne skal ikke påvirke betydningen eller fortolkningen af Databehandleraftalen.</w:t>
      </w:r>
    </w:p>
    <w:p w14:paraId="3E9DBDE6" w14:textId="77777777" w:rsidR="00B8410E" w:rsidRPr="0041776F" w:rsidRDefault="00B8410E" w:rsidP="00B8410E">
      <w:pPr>
        <w:pStyle w:val="Overskrift1"/>
        <w:numPr>
          <w:ilvl w:val="0"/>
          <w:numId w:val="6"/>
        </w:numPr>
      </w:pPr>
      <w:r w:rsidRPr="0041776F">
        <w:t>Persondata</w:t>
      </w:r>
    </w:p>
    <w:p w14:paraId="448B06FB" w14:textId="77777777" w:rsidR="00B8410E" w:rsidRDefault="00B8410E" w:rsidP="00B8410E">
      <w:pPr>
        <w:pStyle w:val="Niveau2"/>
        <w:numPr>
          <w:ilvl w:val="1"/>
          <w:numId w:val="6"/>
        </w:numPr>
      </w:pPr>
      <w:bookmarkStart w:id="1" w:name="_Ref508967938"/>
      <w:r w:rsidRPr="0041776F">
        <w:t>[</w:t>
      </w:r>
      <w:r w:rsidRPr="0041776F">
        <w:rPr>
          <w:highlight w:val="yellow"/>
        </w:rPr>
        <w:t xml:space="preserve">Indsæt </w:t>
      </w:r>
      <w:r>
        <w:rPr>
          <w:highlight w:val="yellow"/>
        </w:rPr>
        <w:t xml:space="preserve">eget </w:t>
      </w:r>
      <w:r w:rsidRPr="0041776F">
        <w:rPr>
          <w:highlight w:val="yellow"/>
        </w:rPr>
        <w:t>navn</w:t>
      </w:r>
      <w:r w:rsidRPr="0041776F">
        <w:t xml:space="preserve">] udpeger </w:t>
      </w:r>
      <w:r>
        <w:t>[</w:t>
      </w:r>
      <w:r w:rsidRPr="00AD650A">
        <w:rPr>
          <w:highlight w:val="yellow"/>
        </w:rPr>
        <w:t xml:space="preserve">indsæt </w:t>
      </w:r>
      <w:r>
        <w:rPr>
          <w:highlight w:val="yellow"/>
        </w:rPr>
        <w:t xml:space="preserve">leverandørens </w:t>
      </w:r>
      <w:r w:rsidRPr="00AD650A">
        <w:rPr>
          <w:highlight w:val="yellow"/>
        </w:rPr>
        <w:t>navn</w:t>
      </w:r>
      <w:r>
        <w:t>]</w:t>
      </w:r>
      <w:r w:rsidRPr="0041776F">
        <w:t xml:space="preserve"> som Databehandler i relation til denne Databehandleraftale</w:t>
      </w:r>
      <w:r>
        <w:t>.</w:t>
      </w:r>
      <w:r w:rsidRPr="0041776F">
        <w:t xml:space="preserve"> </w:t>
      </w:r>
    </w:p>
    <w:p w14:paraId="2497B0A3" w14:textId="77777777" w:rsidR="00B8410E" w:rsidRPr="0041776F" w:rsidRDefault="00B8410E" w:rsidP="00B8410E">
      <w:pPr>
        <w:pStyle w:val="Niveau2"/>
        <w:numPr>
          <w:ilvl w:val="1"/>
          <w:numId w:val="6"/>
        </w:numPr>
      </w:pPr>
      <w:proofErr w:type="gramStart"/>
      <w:r w:rsidRPr="0041776F">
        <w:t>Såfremt</w:t>
      </w:r>
      <w:proofErr w:type="gramEnd"/>
      <w:r w:rsidRPr="0041776F">
        <w:t xml:space="preserve"> en af Parterne bliver udpeget til at være Databehandler af en tredjepart, der er Dataansvarlig for Persondata, som skal Behandles, kan denne Databehandleraftale benyttes som grundlag for at udpege en Underdatabehandler. Det betyder, at tredjeparten bliver </w:t>
      </w:r>
      <w:r>
        <w:t xml:space="preserve">dataansvarlige, </w:t>
      </w:r>
      <w:r w:rsidRPr="0041776F">
        <w:t xml:space="preserve">med de rettigheder og forpligter, som følge af dette, mens Databehandleraftalens Dataansvarlig bliver til </w:t>
      </w:r>
      <w:proofErr w:type="gramStart"/>
      <w:r w:rsidRPr="0041776F">
        <w:t>en</w:t>
      </w:r>
      <w:proofErr w:type="gramEnd"/>
      <w:r w:rsidRPr="0041776F">
        <w:t xml:space="preserve"> databehandler og denne Databehandleraftales Databehandler bliver til en underdatabehandler. Bemærk, at tredjeparten og den Dataansvarlige efter denne Databehandleraftale skal indgå en selvstændig skriftlig aftale om Behandlingen af Persondata.</w:t>
      </w:r>
      <w:bookmarkEnd w:id="1"/>
    </w:p>
    <w:p w14:paraId="6A6034CE" w14:textId="77777777" w:rsidR="00B8410E" w:rsidRPr="0041776F" w:rsidRDefault="00B8410E" w:rsidP="00B8410E">
      <w:pPr>
        <w:pStyle w:val="Niveau2"/>
        <w:numPr>
          <w:ilvl w:val="1"/>
          <w:numId w:val="6"/>
        </w:numPr>
      </w:pPr>
      <w:bookmarkStart w:id="2" w:name="_Ref513115054"/>
      <w:bookmarkStart w:id="3" w:name="_Ref487707161"/>
      <w:bookmarkStart w:id="4" w:name="_Ref487707222"/>
      <w:r w:rsidRPr="0041776F">
        <w:t>Databehandleren behandler herefter Persondata efter instruks fra den Dataansvarlige. Denne instruks fre</w:t>
      </w:r>
      <w:r>
        <w:t xml:space="preserve">mgår nærmere af bilag </w:t>
      </w:r>
      <w:r>
        <w:fldChar w:fldCharType="begin"/>
      </w:r>
      <w:r>
        <w:instrText xml:space="preserve"> REF _Ref513115054 \r \h </w:instrText>
      </w:r>
      <w:r>
        <w:fldChar w:fldCharType="separate"/>
      </w:r>
      <w:r>
        <w:t>2.3</w:t>
      </w:r>
      <w:r>
        <w:fldChar w:fldCharType="end"/>
      </w:r>
      <w:r w:rsidRPr="0041776F">
        <w:t>.</w:t>
      </w:r>
      <w:bookmarkEnd w:id="2"/>
      <w:r w:rsidRPr="0041776F">
        <w:t xml:space="preserve"> Parterne oplyser og indestår for, at den Persondata, der Behandles i henhold til Databehandleraftalen, er proportionel med Parternes formål. Yderligere oplysninger, datakategorier og Datasubjekter mv. findes i bilag</w:t>
      </w:r>
      <w:bookmarkEnd w:id="3"/>
      <w:r w:rsidRPr="0041776F">
        <w:t xml:space="preserve"> </w:t>
      </w:r>
      <w:r w:rsidRPr="0041776F">
        <w:fldChar w:fldCharType="begin"/>
      </w:r>
      <w:r w:rsidRPr="0041776F">
        <w:instrText xml:space="preserve"> REF _Ref487707161 \r \h </w:instrText>
      </w:r>
      <w:r w:rsidRPr="0041776F">
        <w:fldChar w:fldCharType="separate"/>
      </w:r>
      <w:r>
        <w:t>2.3</w:t>
      </w:r>
      <w:r w:rsidRPr="0041776F">
        <w:fldChar w:fldCharType="end"/>
      </w:r>
      <w:r w:rsidRPr="0041776F">
        <w:t>, der kan ændres af Parterne ved skriftlig fremsendelse af opdaterede lister.</w:t>
      </w:r>
      <w:bookmarkEnd w:id="4"/>
      <w:r w:rsidRPr="0041776F">
        <w:t xml:space="preserve"> </w:t>
      </w:r>
    </w:p>
    <w:p w14:paraId="07D6A9A4" w14:textId="77777777" w:rsidR="00B8410E" w:rsidRPr="0041776F" w:rsidRDefault="00B8410E" w:rsidP="00B8410E">
      <w:pPr>
        <w:pStyle w:val="Overskrift1"/>
        <w:numPr>
          <w:ilvl w:val="0"/>
          <w:numId w:val="6"/>
        </w:numPr>
      </w:pPr>
      <w:bookmarkStart w:id="5" w:name="_Ref508268939"/>
      <w:r w:rsidRPr="0041776F">
        <w:t>Forpligtelser vedrørende behandling og beskyttelse af persondata</w:t>
      </w:r>
      <w:bookmarkEnd w:id="5"/>
    </w:p>
    <w:p w14:paraId="5136B425" w14:textId="77777777" w:rsidR="00B8410E" w:rsidRDefault="00B8410E" w:rsidP="00B8410E">
      <w:pPr>
        <w:pStyle w:val="Niveau2"/>
        <w:numPr>
          <w:ilvl w:val="1"/>
          <w:numId w:val="6"/>
        </w:numPr>
      </w:pPr>
      <w:r>
        <w:t xml:space="preserve">Den Dataansvarlige er ansvarlig for at sikre, at der foreligger hjemmel til den Behandling af Persondata, som Databehandleren instrueres i at foretage. </w:t>
      </w:r>
    </w:p>
    <w:p w14:paraId="3AA9D8CB" w14:textId="77777777" w:rsidR="00B8410E" w:rsidRPr="0041776F" w:rsidRDefault="00B8410E" w:rsidP="00B8410E">
      <w:pPr>
        <w:pStyle w:val="Niveau2"/>
        <w:numPr>
          <w:ilvl w:val="1"/>
          <w:numId w:val="6"/>
        </w:numPr>
      </w:pPr>
      <w:r w:rsidRPr="0041776F">
        <w:t xml:space="preserve">Databehandleren behandler både almindelig og følsom Persondata, og Databehandleren bekræfter, at disse oplysninger behandles strengt fortroligt. Datebehandleren må kun Behandle Persondata for at opnå formålet beskrevet i </w:t>
      </w:r>
      <w:r w:rsidRPr="0041776F">
        <w:rPr>
          <w:color w:val="000000" w:themeColor="text1"/>
        </w:rPr>
        <w:t xml:space="preserve">Leveringsaftalen og i henhold til instruksen vedlagt som bilag </w:t>
      </w:r>
      <w:r>
        <w:fldChar w:fldCharType="begin"/>
      </w:r>
      <w:r>
        <w:instrText xml:space="preserve"> REF _Ref513115054 \r \h </w:instrText>
      </w:r>
      <w:r>
        <w:fldChar w:fldCharType="separate"/>
      </w:r>
      <w:r>
        <w:t>2.3</w:t>
      </w:r>
      <w:r>
        <w:fldChar w:fldCharType="end"/>
      </w:r>
      <w:r>
        <w:t xml:space="preserve">. Databehandleren sikrer desuden, at de personer, der er ansat hos </w:t>
      </w:r>
      <w:proofErr w:type="spellStart"/>
      <w:r>
        <w:t>Databehandlere</w:t>
      </w:r>
      <w:proofErr w:type="spellEnd"/>
      <w:r>
        <w:t xml:space="preserve">, og som Behandler Persondata har forpligtet sig til fortrolighed eller er underlagt en passende lovbestemt tavshedspligt. </w:t>
      </w:r>
    </w:p>
    <w:p w14:paraId="20EEA60F" w14:textId="77777777" w:rsidR="00B8410E" w:rsidRPr="0041776F" w:rsidRDefault="00B8410E" w:rsidP="00B8410E">
      <w:pPr>
        <w:pStyle w:val="Niveau2"/>
        <w:numPr>
          <w:ilvl w:val="1"/>
          <w:numId w:val="6"/>
        </w:numPr>
      </w:pPr>
      <w:r w:rsidRPr="0041776F">
        <w:t xml:space="preserve">Databehandleren bekræfter til enhver tid at </w:t>
      </w:r>
      <w:r>
        <w:t>B</w:t>
      </w:r>
      <w:r w:rsidRPr="0041776F">
        <w:t>ehandle Persondata i overensstemmelse med Gældende Ret</w:t>
      </w:r>
      <w:r>
        <w:t xml:space="preserve"> samt anden </w:t>
      </w:r>
      <w:r w:rsidRPr="0041776F">
        <w:t xml:space="preserve">privatlivs- eller databeskyttelsesregulering og udelukkende til det formål og på den måde, som den Dataansvarlige skriftligt har instrueret Databehandleren i. Databehandleren må ikke Behandle Persondata på nogen anden måde eller til nogen andre formål. Dette betyder, at Databehandleren ikke har indflydelse på </w:t>
      </w:r>
      <w:r w:rsidRPr="0041776F">
        <w:lastRenderedPageBreak/>
        <w:t>formålet med og vilkårene for Behandlingen af Persondata, og Databehandleren kan ikke træffe beslutninger om, hvorledes den modtagne Persondata skal anvendes, hvorvidt Persondata skal overdrages til tredjeparter, eller hvor længe Persondata skal opbevares.</w:t>
      </w:r>
    </w:p>
    <w:p w14:paraId="7E655DC5" w14:textId="77777777" w:rsidR="00B8410E" w:rsidRPr="0041776F" w:rsidRDefault="00B8410E" w:rsidP="00B8410E">
      <w:pPr>
        <w:pStyle w:val="Niveau2"/>
        <w:numPr>
          <w:ilvl w:val="1"/>
          <w:numId w:val="6"/>
        </w:numPr>
      </w:pPr>
      <w:r w:rsidRPr="0041776F">
        <w:t xml:space="preserve">Gældende Ret forpligter den Dataansvarlige til at sørge for, at Databehandleren stiller de </w:t>
      </w:r>
      <w:proofErr w:type="gramStart"/>
      <w:r w:rsidRPr="0041776F">
        <w:t>fornødne</w:t>
      </w:r>
      <w:proofErr w:type="gramEnd"/>
      <w:r w:rsidRPr="0041776F">
        <w:t xml:space="preserve"> garantier for, at Databehandleren har eller vil gennemføre passende tekniske og organisatoriske sikkerhedsforanstaltninger</w:t>
      </w:r>
      <w:r>
        <w:t xml:space="preserve"> </w:t>
      </w:r>
      <w:r w:rsidRPr="0041776F">
        <w:t xml:space="preserve">for at forhindre uautoriseret eller ulovlig Behandling, utilsigtet tab, ødelæggelse eller beskadigelse af Persondata, jf. punkt </w:t>
      </w:r>
      <w:r w:rsidRPr="0041776F">
        <w:fldChar w:fldCharType="begin"/>
      </w:r>
      <w:r w:rsidRPr="0041776F">
        <w:instrText xml:space="preserve"> REF _Ref481941797 \r \h </w:instrText>
      </w:r>
      <w:r w:rsidRPr="0041776F">
        <w:fldChar w:fldCharType="separate"/>
      </w:r>
      <w:r>
        <w:t>7</w:t>
      </w:r>
      <w:r w:rsidRPr="0041776F">
        <w:fldChar w:fldCharType="end"/>
      </w:r>
      <w:r w:rsidRPr="0041776F">
        <w:t>, ligesom Gældende Ret forpligtiger den Dataansvarlige til at sikre, at disse foranstaltninger overholdes. Parterne er enige om, at beskyttelsen af privatlivet og sikkerheden omkring den Persondata, der behandles, skal tillægges stor betydning.</w:t>
      </w:r>
    </w:p>
    <w:p w14:paraId="11CB43FB" w14:textId="77777777" w:rsidR="00B8410E" w:rsidRPr="0041776F" w:rsidRDefault="00B8410E" w:rsidP="00B8410E">
      <w:pPr>
        <w:pStyle w:val="Niveau2"/>
        <w:numPr>
          <w:ilvl w:val="1"/>
          <w:numId w:val="6"/>
        </w:numPr>
      </w:pPr>
      <w:r w:rsidRPr="0041776F">
        <w:t xml:space="preserve">Når den Dataansvarlige anmoder </w:t>
      </w:r>
      <w:r>
        <w:t>herom</w:t>
      </w:r>
      <w:r w:rsidRPr="0041776F">
        <w:t xml:space="preserve">, skal Databehandleren så vidt muligt stille nødvendige oplysninger til rådighed for den Dataansvarlige, således at den Dataansvarlige kan afgøre om passende tekniske og organisatoriske sikkerhedsforanstaltninger er indarbejdet, herunder procedurer for håndtering af krav om ændringer, tilføjelser, bortskaffelse af eller beskyttelse af Persondata, procedurer for eventuelle brud på sikkerheden, samt gennemførelse af en konsekvensanalyse og gennemførte ændringer som følge af berettigede indsigelser. Derudover skal Databehandleren give mulighed for og bidrage til revisioner, herunder inspektioner, der foretages af den Dataansvarlige eller en anden revisor, som er bemyndiget af den Dataansvarlige, af Databehandlerens forhold, sikkerhedsforanstaltninger og Behandlinger, jf. punkt </w:t>
      </w:r>
      <w:r w:rsidRPr="0041776F">
        <w:fldChar w:fldCharType="begin"/>
      </w:r>
      <w:r w:rsidRPr="0041776F">
        <w:instrText xml:space="preserve"> REF _Ref508271701 \r \h </w:instrText>
      </w:r>
      <w:r w:rsidRPr="0041776F">
        <w:fldChar w:fldCharType="separate"/>
      </w:r>
      <w:r>
        <w:t>8</w:t>
      </w:r>
      <w:r w:rsidRPr="0041776F">
        <w:fldChar w:fldCharType="end"/>
      </w:r>
      <w:r w:rsidRPr="0041776F">
        <w:t>.</w:t>
      </w:r>
    </w:p>
    <w:p w14:paraId="3DFBBFF0" w14:textId="77777777" w:rsidR="00B8410E" w:rsidRDefault="00B8410E" w:rsidP="00B8410E">
      <w:pPr>
        <w:pStyle w:val="Niveau2"/>
        <w:numPr>
          <w:ilvl w:val="1"/>
          <w:numId w:val="6"/>
        </w:numPr>
      </w:pPr>
      <w:bookmarkStart w:id="6" w:name="_Ref508969332"/>
      <w:r w:rsidRPr="0041776F">
        <w:t xml:space="preserve">Når Databehandleren modtager en forespørgsel fra et Datasubjekt, en myndighed eller en tredjepart om en Behandling, skal Databehandleren meddele den Dataansvarlige herom hurtigst muligt og senest </w:t>
      </w:r>
      <w:r>
        <w:t xml:space="preserve">indenfor 48 timer </w:t>
      </w:r>
      <w:r w:rsidRPr="0041776F">
        <w:t xml:space="preserve">efter modtagelsen af forespørgslen. Databehandleren skal samtidig oplyse den Dataansvarlige om enhver relevant information vedrørende forespørgslen. Databehandleren </w:t>
      </w:r>
      <w:r>
        <w:t xml:space="preserve">besvarer ikke henvendelser uden at have fået skriftligt samtykke fra den Dataansvarlige, medmindre der foreligger lovligt grundlag, som for eksempel ved forespørgsler fra politiet. </w:t>
      </w:r>
    </w:p>
    <w:p w14:paraId="7DFF2629" w14:textId="77777777" w:rsidR="00B8410E" w:rsidRDefault="00B8410E" w:rsidP="00B8410E">
      <w:pPr>
        <w:pStyle w:val="Niveau2"/>
        <w:numPr>
          <w:ilvl w:val="1"/>
          <w:numId w:val="6"/>
        </w:numPr>
      </w:pPr>
      <w:bookmarkStart w:id="7" w:name="_Ref477447028"/>
      <w:bookmarkEnd w:id="6"/>
      <w:r w:rsidRPr="0041776F">
        <w:t>Databehandleren skal og vil sikre, at enhver tredjepart, der leverer ydelser til Databehandleren, og som kommer i berøring med Persondata</w:t>
      </w:r>
      <w:r>
        <w:t xml:space="preserve"> </w:t>
      </w:r>
      <w:r w:rsidRPr="0041776F">
        <w:t xml:space="preserve">overholder de relevante vilkår i Databehandleraftalen, herunder de regler for opbevaring af Persondata, som Parterne fastsætter fra tid til anden, som er vedlagt </w:t>
      </w:r>
      <w:r>
        <w:t>i instruksen</w:t>
      </w:r>
      <w:bookmarkEnd w:id="7"/>
      <w:r>
        <w:t xml:space="preserve"> i bilag </w:t>
      </w:r>
      <w:r>
        <w:fldChar w:fldCharType="begin"/>
      </w:r>
      <w:r>
        <w:instrText xml:space="preserve"> REF _Ref487707222 \r \h </w:instrText>
      </w:r>
      <w:r>
        <w:fldChar w:fldCharType="separate"/>
      </w:r>
      <w:r>
        <w:t>2.3</w:t>
      </w:r>
      <w:r>
        <w:fldChar w:fldCharType="end"/>
      </w:r>
      <w:r>
        <w:t xml:space="preserve">. Aftaler med tredjeparter skal være skriftlige. </w:t>
      </w:r>
    </w:p>
    <w:p w14:paraId="4067FA24" w14:textId="77777777" w:rsidR="00B8410E" w:rsidRPr="0041776F" w:rsidRDefault="00B8410E" w:rsidP="00B8410E">
      <w:pPr>
        <w:pStyle w:val="Overskrift1"/>
        <w:numPr>
          <w:ilvl w:val="0"/>
          <w:numId w:val="6"/>
        </w:numPr>
      </w:pPr>
      <w:r w:rsidRPr="0041776F">
        <w:t>Bistand til den dataansvarlige</w:t>
      </w:r>
    </w:p>
    <w:p w14:paraId="6FF40BAB" w14:textId="77777777" w:rsidR="00B8410E" w:rsidRPr="0041776F" w:rsidRDefault="00B8410E" w:rsidP="00B8410E">
      <w:pPr>
        <w:pStyle w:val="Niveau2"/>
        <w:numPr>
          <w:ilvl w:val="1"/>
          <w:numId w:val="6"/>
        </w:numPr>
      </w:pPr>
      <w:r w:rsidRPr="0041776F">
        <w:t xml:space="preserve">Under hensyntagen til Behandlingens karakter, bistår Databehandleren så vidt muligt den Dataansvarlige ved hjælp af passende tekniske og organisatoriske foranstaltninger, jf. hertil punkt </w:t>
      </w:r>
      <w:r w:rsidRPr="0041776F">
        <w:fldChar w:fldCharType="begin"/>
      </w:r>
      <w:r w:rsidRPr="0041776F">
        <w:instrText xml:space="preserve"> REF _Ref481941797 \r \h </w:instrText>
      </w:r>
      <w:r w:rsidRPr="0041776F">
        <w:fldChar w:fldCharType="separate"/>
      </w:r>
      <w:r>
        <w:t>7</w:t>
      </w:r>
      <w:r w:rsidRPr="0041776F">
        <w:fldChar w:fldCharType="end"/>
      </w:r>
      <w:r w:rsidRPr="0041776F">
        <w:t>, med opfyldelse af den Dataansvarliges forpligtelse til at besvare anmodninger om udøvelsen af Datasubjekters rettigheder i henhold til Gældende Ret.</w:t>
      </w:r>
    </w:p>
    <w:p w14:paraId="0070A21A" w14:textId="77777777" w:rsidR="00B8410E" w:rsidRPr="0041776F" w:rsidRDefault="00B8410E" w:rsidP="00B8410E">
      <w:pPr>
        <w:pStyle w:val="Niveau2"/>
        <w:numPr>
          <w:ilvl w:val="1"/>
          <w:numId w:val="6"/>
        </w:numPr>
      </w:pPr>
      <w:r w:rsidRPr="0041776F">
        <w:t>Dette indebærer, at Databehandleren så vidt muligt skal bistå den Dataansvarlige i forbindelse med den Dataansvarliges overholdelse af:</w:t>
      </w:r>
    </w:p>
    <w:p w14:paraId="7C076009" w14:textId="77777777" w:rsidR="00B8410E" w:rsidRPr="0041776F" w:rsidRDefault="00B8410E" w:rsidP="00B8410E">
      <w:pPr>
        <w:pStyle w:val="Niveau2"/>
        <w:numPr>
          <w:ilvl w:val="0"/>
          <w:numId w:val="16"/>
        </w:numPr>
        <w:ind w:left="1418" w:hanging="567"/>
      </w:pPr>
      <w:r w:rsidRPr="0041776F">
        <w:t>oplysningspligten ved indsamling af Persondata hos Datasubjektet</w:t>
      </w:r>
    </w:p>
    <w:p w14:paraId="41FC39FF" w14:textId="77777777" w:rsidR="00B8410E" w:rsidRPr="0041776F" w:rsidRDefault="00B8410E" w:rsidP="00B8410E">
      <w:pPr>
        <w:pStyle w:val="Niveau2"/>
        <w:numPr>
          <w:ilvl w:val="0"/>
          <w:numId w:val="16"/>
        </w:numPr>
        <w:ind w:left="1418" w:hanging="567"/>
      </w:pPr>
      <w:r w:rsidRPr="0041776F">
        <w:t>oplysningspligten, hvis Persondata ikke er indsamlet hos Datasubjektet</w:t>
      </w:r>
    </w:p>
    <w:p w14:paraId="0449D344" w14:textId="77777777" w:rsidR="00B8410E" w:rsidRPr="0041776F" w:rsidRDefault="00B8410E" w:rsidP="00B8410E">
      <w:pPr>
        <w:pStyle w:val="Niveau2"/>
        <w:numPr>
          <w:ilvl w:val="0"/>
          <w:numId w:val="16"/>
        </w:numPr>
        <w:ind w:left="1418" w:hanging="567"/>
      </w:pPr>
      <w:r w:rsidRPr="0041776F">
        <w:t>Datasubjektets indsigtsret</w:t>
      </w:r>
    </w:p>
    <w:p w14:paraId="1F3A9333" w14:textId="77777777" w:rsidR="00B8410E" w:rsidRPr="0041776F" w:rsidRDefault="00B8410E" w:rsidP="00B8410E">
      <w:pPr>
        <w:pStyle w:val="Niveau2"/>
        <w:numPr>
          <w:ilvl w:val="0"/>
          <w:numId w:val="16"/>
        </w:numPr>
        <w:ind w:left="1418" w:hanging="567"/>
      </w:pPr>
      <w:r w:rsidRPr="0041776F">
        <w:t>retten til berigtigelse og sletning</w:t>
      </w:r>
    </w:p>
    <w:p w14:paraId="252DC78C" w14:textId="77777777" w:rsidR="00B8410E" w:rsidRPr="0041776F" w:rsidRDefault="00B8410E" w:rsidP="00B8410E">
      <w:pPr>
        <w:pStyle w:val="Niveau2"/>
        <w:numPr>
          <w:ilvl w:val="0"/>
          <w:numId w:val="16"/>
        </w:numPr>
        <w:ind w:left="1418" w:hanging="567"/>
      </w:pPr>
      <w:r w:rsidRPr="0041776F">
        <w:t>retten til begrænsning af Behandling</w:t>
      </w:r>
    </w:p>
    <w:p w14:paraId="684D0C4A" w14:textId="77777777" w:rsidR="00B8410E" w:rsidRPr="0041776F" w:rsidRDefault="00B8410E" w:rsidP="00B8410E">
      <w:pPr>
        <w:pStyle w:val="Niveau2"/>
        <w:numPr>
          <w:ilvl w:val="0"/>
          <w:numId w:val="16"/>
        </w:numPr>
        <w:ind w:left="1418" w:hanging="567"/>
      </w:pPr>
      <w:r w:rsidRPr="0041776F">
        <w:lastRenderedPageBreak/>
        <w:t>underretningspligt i forbindelse med berigtigelse eller sletning af Persondata eller begrænsning af Behandling</w:t>
      </w:r>
    </w:p>
    <w:p w14:paraId="6EDD6931" w14:textId="77777777" w:rsidR="00B8410E" w:rsidRPr="0041776F" w:rsidRDefault="00B8410E" w:rsidP="00B8410E">
      <w:pPr>
        <w:pStyle w:val="Niveau2"/>
        <w:numPr>
          <w:ilvl w:val="0"/>
          <w:numId w:val="16"/>
        </w:numPr>
        <w:ind w:left="1418" w:hanging="567"/>
      </w:pPr>
      <w:r w:rsidRPr="0041776F">
        <w:t xml:space="preserve">retten til </w:t>
      </w:r>
      <w:proofErr w:type="spellStart"/>
      <w:r w:rsidRPr="0041776F">
        <w:t>dataportabilitet</w:t>
      </w:r>
      <w:proofErr w:type="spellEnd"/>
    </w:p>
    <w:p w14:paraId="3F1975BC" w14:textId="77777777" w:rsidR="00B8410E" w:rsidRPr="0041776F" w:rsidRDefault="00B8410E" w:rsidP="00B8410E">
      <w:pPr>
        <w:pStyle w:val="Niveau2"/>
        <w:numPr>
          <w:ilvl w:val="0"/>
          <w:numId w:val="16"/>
        </w:numPr>
        <w:ind w:left="1418" w:hanging="567"/>
      </w:pPr>
      <w:r w:rsidRPr="0041776F">
        <w:t xml:space="preserve">retten til indsigelse </w:t>
      </w:r>
    </w:p>
    <w:p w14:paraId="4EC68DBB" w14:textId="77777777" w:rsidR="00B8410E" w:rsidRPr="0041776F" w:rsidRDefault="00B8410E" w:rsidP="00B8410E">
      <w:pPr>
        <w:pStyle w:val="Niveau2"/>
        <w:numPr>
          <w:ilvl w:val="1"/>
          <w:numId w:val="6"/>
        </w:numPr>
      </w:pPr>
      <w:r w:rsidRPr="0041776F">
        <w:t xml:space="preserve">Derudover bistår Databehandleren den Dataansvarlige med at sikre overholdelse af den Dataansvarliges forpligtelser til blandt andet at </w:t>
      </w:r>
    </w:p>
    <w:p w14:paraId="32381002" w14:textId="77777777" w:rsidR="00B8410E" w:rsidRPr="0041776F" w:rsidRDefault="00B8410E" w:rsidP="00B8410E">
      <w:pPr>
        <w:pStyle w:val="Niveau2"/>
        <w:numPr>
          <w:ilvl w:val="0"/>
          <w:numId w:val="17"/>
        </w:numPr>
        <w:tabs>
          <w:tab w:val="num" w:pos="360"/>
        </w:tabs>
        <w:ind w:left="1418" w:hanging="567"/>
      </w:pPr>
      <w:r w:rsidRPr="0041776F">
        <w:t>gennemføre en konsekvensanalyse vedrørende databeskyttelse, hvis en type Behandling sandsynligvis vil indebære en høj risiko for Datasubjekters rettigheder og frihedsrettigheder, og</w:t>
      </w:r>
    </w:p>
    <w:p w14:paraId="2BCAE4BC" w14:textId="77777777" w:rsidR="00B8410E" w:rsidRPr="0041776F" w:rsidRDefault="00B8410E" w:rsidP="00B8410E">
      <w:pPr>
        <w:pStyle w:val="Niveau2"/>
        <w:numPr>
          <w:ilvl w:val="0"/>
          <w:numId w:val="17"/>
        </w:numPr>
        <w:tabs>
          <w:tab w:val="num" w:pos="360"/>
        </w:tabs>
        <w:ind w:left="1418" w:hanging="567"/>
      </w:pPr>
      <w:r w:rsidRPr="0041776F">
        <w:t xml:space="preserve">høre tilsynsmyndigheden (Datatilsynet) inden en Behandling, </w:t>
      </w:r>
      <w:proofErr w:type="gramStart"/>
      <w:r w:rsidRPr="0041776F">
        <w:t>såfremt</w:t>
      </w:r>
      <w:proofErr w:type="gramEnd"/>
      <w:r w:rsidRPr="0041776F">
        <w:t xml:space="preserve"> en konsekvensanalyse vedrørende databeskyttelse viser, at Behandlingen vil føre til høj risiko i mangel af foranstaltninger truffet af den Dataansvarlige for at begrænse risikoen </w:t>
      </w:r>
    </w:p>
    <w:p w14:paraId="21B5C921" w14:textId="77777777" w:rsidR="00B8410E" w:rsidRPr="0041776F" w:rsidRDefault="00B8410E" w:rsidP="00B8410E">
      <w:pPr>
        <w:pStyle w:val="Niveau2"/>
        <w:numPr>
          <w:ilvl w:val="1"/>
          <w:numId w:val="6"/>
        </w:numPr>
      </w:pPr>
      <w:r w:rsidRPr="0041776F">
        <w:t xml:space="preserve">Parternes eventuelle aftale om vederlæggelse eller lignende i forbindelse med Databehandlerens bistand til den Dataansvarlige vil fremgå af </w:t>
      </w:r>
      <w:r>
        <w:t>Leverings</w:t>
      </w:r>
      <w:r w:rsidRPr="0041776F">
        <w:t>aftalen.</w:t>
      </w:r>
    </w:p>
    <w:p w14:paraId="55F1BFBE" w14:textId="77777777" w:rsidR="00B8410E" w:rsidRPr="0041776F" w:rsidRDefault="00B8410E" w:rsidP="00B8410E">
      <w:pPr>
        <w:pStyle w:val="Overskrift1"/>
        <w:numPr>
          <w:ilvl w:val="0"/>
          <w:numId w:val="6"/>
        </w:numPr>
      </w:pPr>
      <w:bookmarkStart w:id="8" w:name="_Ref513461854"/>
      <w:r w:rsidRPr="0041776F">
        <w:t>Tredjelande</w:t>
      </w:r>
      <w:bookmarkEnd w:id="8"/>
      <w:r w:rsidRPr="0041776F">
        <w:t xml:space="preserve"> </w:t>
      </w:r>
    </w:p>
    <w:p w14:paraId="3655C42D" w14:textId="77777777" w:rsidR="00B8410E" w:rsidRPr="0041776F" w:rsidRDefault="00B8410E" w:rsidP="00B8410E">
      <w:pPr>
        <w:pStyle w:val="Niveau2"/>
        <w:numPr>
          <w:ilvl w:val="1"/>
          <w:numId w:val="6"/>
        </w:numPr>
      </w:pPr>
      <w:r w:rsidRPr="0041776F">
        <w:t>Databehandleren må ikke Behandle Persondata udenfor Det Europæiske Økonomiske Samarbejdsområde uden først at indhente skriftlig tilladelse hertil fra den Dataansvarlige, medmindre den specifikke Behandling kræves i henhold til EU-ret, Gældende Ret eller medlemsstaternes nationale ret, som Databehandleren er underlagt. I dette tilfælde underretter Databehandleren den Dataansvarlige om dette retlige krav inden Behandlingen påbegyndes, medmindre den pågældende ret forbyder en sådan underretning af hensyn til vigtige samfundsmæssige interesser.</w:t>
      </w:r>
    </w:p>
    <w:p w14:paraId="1353B842" w14:textId="77777777" w:rsidR="00B8410E" w:rsidRPr="0041776F" w:rsidRDefault="00B8410E" w:rsidP="00B8410E">
      <w:pPr>
        <w:pStyle w:val="Niveau2"/>
        <w:numPr>
          <w:ilvl w:val="1"/>
          <w:numId w:val="6"/>
        </w:numPr>
      </w:pPr>
      <w:bookmarkStart w:id="9" w:name="_Ref477446350"/>
      <w:r w:rsidRPr="0041776F">
        <w:t xml:space="preserve">Hvis den Dataansvarlige giver tilladelse til at Behandle Persondata udenfor Det Europæiske Økonomiske Samarbejdsområde, er en sådan tilladelse til Behandling i alle tilfælde betinget af, at Persondata bliver Behandlet i overensstemmelse med Gældende Ret samt i overensstemmelse med enhver anden instruktion som den Dataansvarlige giver vedrørende Behandlingen. </w:t>
      </w:r>
      <w:bookmarkEnd w:id="9"/>
    </w:p>
    <w:p w14:paraId="0DD08183" w14:textId="77777777" w:rsidR="00B8410E" w:rsidRPr="0041776F" w:rsidRDefault="00B8410E" w:rsidP="00B8410E">
      <w:pPr>
        <w:pStyle w:val="Overskrift1"/>
        <w:numPr>
          <w:ilvl w:val="0"/>
          <w:numId w:val="6"/>
        </w:numPr>
      </w:pPr>
      <w:bookmarkStart w:id="10" w:name="_Ref480524439"/>
      <w:bookmarkStart w:id="11" w:name="_Ref480524476"/>
      <w:bookmarkStart w:id="12" w:name="_Ref477446364"/>
      <w:r w:rsidRPr="0041776F">
        <w:t xml:space="preserve">UnderDataBehandlere </w:t>
      </w:r>
    </w:p>
    <w:p w14:paraId="130547A6" w14:textId="77777777" w:rsidR="00B8410E" w:rsidRPr="0041776F" w:rsidRDefault="00B8410E" w:rsidP="00B8410E">
      <w:pPr>
        <w:pStyle w:val="Niveau2"/>
        <w:numPr>
          <w:ilvl w:val="1"/>
          <w:numId w:val="6"/>
        </w:numPr>
      </w:pPr>
      <w:bookmarkStart w:id="13" w:name="_Ref508266120"/>
      <w:r w:rsidRPr="0041776F">
        <w:t>Hvis der opstår situationer, hvor det er nødvendigt at inddrage en Underdatabehandler, skal Databehandleren give meddelelse herom til den Dataansvarlige. De Underdatabehandlere, Databehandleren anvender på tidspunktet for indgåelsen af Databehandleraftalen, er oplistet i Databehandleraftalens bilag</w:t>
      </w:r>
      <w:bookmarkEnd w:id="10"/>
      <w:bookmarkEnd w:id="11"/>
      <w:r w:rsidRPr="0041776F">
        <w:t xml:space="preserve"> </w:t>
      </w:r>
      <w:r w:rsidRPr="0041776F">
        <w:fldChar w:fldCharType="begin"/>
      </w:r>
      <w:r w:rsidRPr="0041776F">
        <w:instrText xml:space="preserve"> REF _Ref508266120 \r \h </w:instrText>
      </w:r>
      <w:r w:rsidRPr="0041776F">
        <w:fldChar w:fldCharType="separate"/>
      </w:r>
      <w:r>
        <w:t>6.1</w:t>
      </w:r>
      <w:r w:rsidRPr="0041776F">
        <w:fldChar w:fldCharType="end"/>
      </w:r>
      <w:r w:rsidRPr="0041776F">
        <w:t>, hvor proceduren for godkendelse af Underdatabehandlere tillige fremgår.</w:t>
      </w:r>
      <w:bookmarkEnd w:id="12"/>
      <w:bookmarkEnd w:id="13"/>
    </w:p>
    <w:p w14:paraId="4C9A629A" w14:textId="77777777" w:rsidR="00B8410E" w:rsidRPr="0041776F" w:rsidRDefault="00B8410E" w:rsidP="00B8410E">
      <w:pPr>
        <w:pStyle w:val="Niveau2"/>
        <w:numPr>
          <w:ilvl w:val="1"/>
          <w:numId w:val="6"/>
        </w:numPr>
      </w:pPr>
      <w:r w:rsidRPr="0041776F">
        <w:t>Databehandleren skal sikre, at samtlige Underdatabehandlere skriftligt forpligter sig til at Behandle Persondata som beskrevet i denne Databehandleraftale, hvilket blandt andet betyder at Underdatabehandleren på forespørgsel fra den Dataansvarlige skal give denne de nødvendige oplysninger for at den Dataansvarlige kan afgøre, om der er foretaget de påkrævede tekniske og organisatoriske sikkerhedsforanstaltninger, herunder procedurer omkring inspektion, procedure for at gennemføre ændringer og tilføjelser, bortskaffelse eller beskyttelse af Persondata samt oplysninger vedrørende gennemførte ændringer som følge af berettigede indsigelser.</w:t>
      </w:r>
    </w:p>
    <w:p w14:paraId="59C589BB" w14:textId="77777777" w:rsidR="00B8410E" w:rsidRPr="0041776F" w:rsidRDefault="00B8410E" w:rsidP="00B8410E">
      <w:pPr>
        <w:pStyle w:val="Overskrift1"/>
        <w:numPr>
          <w:ilvl w:val="0"/>
          <w:numId w:val="6"/>
        </w:numPr>
      </w:pPr>
      <w:bookmarkStart w:id="14" w:name="_Ref481941797"/>
      <w:r w:rsidRPr="0041776F">
        <w:lastRenderedPageBreak/>
        <w:t>Sikkerhedsforanstaltninger</w:t>
      </w:r>
      <w:bookmarkEnd w:id="14"/>
    </w:p>
    <w:p w14:paraId="0A41B855" w14:textId="77777777" w:rsidR="00B8410E" w:rsidRPr="0041776F" w:rsidRDefault="00B8410E" w:rsidP="00B8410E">
      <w:pPr>
        <w:pStyle w:val="Niveau2"/>
        <w:numPr>
          <w:ilvl w:val="1"/>
          <w:numId w:val="6"/>
        </w:numPr>
      </w:pPr>
      <w:r w:rsidRPr="0041776F">
        <w:t xml:space="preserve">Databehandleren skal indarbejde alle passende tekniske og organisatoriske foranstaltninger for at beskytte Persondata imod utilsigtet tab samt enhver ulovlig Behandling. Under hensyntagen til disse foranstaltningers karakter og omkostningerne forbundet med implementering heraf, skal foranstaltningerne sikre et passende sikkerhedsniveau taget de risici, der er forbundet med Behandlingen af Persondata og disses karakter i betragtning. Sådanne foranstaltninger inkluderer altid som minimum foranstaltninger: </w:t>
      </w:r>
    </w:p>
    <w:p w14:paraId="16494FDA" w14:textId="77777777" w:rsidR="00B8410E" w:rsidRPr="0041776F" w:rsidRDefault="00B8410E" w:rsidP="00B8410E">
      <w:pPr>
        <w:pStyle w:val="OpstilmbogstavAlta"/>
        <w:numPr>
          <w:ilvl w:val="0"/>
          <w:numId w:val="7"/>
        </w:numPr>
        <w:ind w:left="1418"/>
      </w:pPr>
      <w:r w:rsidRPr="0041776F">
        <w:t xml:space="preserve">der sikrer en sikker overførelse af Persondata mellem Databehandleren og tredjeparter, der optræder som Underdatabehandlere ved udelukkende </w:t>
      </w:r>
      <w:r>
        <w:t xml:space="preserve">at bruge krypterede overførelsesprotokoller, som sikret som </w:t>
      </w:r>
      <w:r w:rsidRPr="007F2F4F">
        <w:t xml:space="preserve">HTTPS </w:t>
      </w:r>
      <w:r>
        <w:t xml:space="preserve">eller </w:t>
      </w:r>
      <w:r w:rsidRPr="007F2F4F">
        <w:t>SSL</w:t>
      </w:r>
      <w:r>
        <w:t xml:space="preserve">. </w:t>
      </w:r>
    </w:p>
    <w:p w14:paraId="15890FCD" w14:textId="77777777" w:rsidR="00B8410E" w:rsidRPr="0041776F" w:rsidRDefault="00B8410E" w:rsidP="00B8410E">
      <w:pPr>
        <w:pStyle w:val="OpstilmbogstavAlta"/>
        <w:numPr>
          <w:ilvl w:val="0"/>
          <w:numId w:val="0"/>
        </w:numPr>
        <w:ind w:left="1418"/>
      </w:pPr>
    </w:p>
    <w:p w14:paraId="462FE864" w14:textId="77777777" w:rsidR="00B8410E" w:rsidRPr="0041776F" w:rsidRDefault="00B8410E" w:rsidP="00B8410E">
      <w:pPr>
        <w:pStyle w:val="OpstilmbogstavAlta"/>
        <w:numPr>
          <w:ilvl w:val="0"/>
          <w:numId w:val="7"/>
        </w:numPr>
        <w:ind w:left="1418"/>
      </w:pPr>
      <w:r w:rsidRPr="0041776F">
        <w:t>der sikrer, at det kun er autoriseret personale, der har adgang til Persondata til det aftalte formål, herunder foranstaltninger som begrænser adgangen til Persondata ved at oprette en liste, der specificerer, hvilke forudbestemte computere, baseret på IP-adresser, der har adgang til Persondata;</w:t>
      </w:r>
    </w:p>
    <w:p w14:paraId="36F311A8" w14:textId="77777777" w:rsidR="00B8410E" w:rsidRPr="0041776F" w:rsidRDefault="00B8410E" w:rsidP="00B8410E">
      <w:pPr>
        <w:pStyle w:val="OpstilmbogstavAlta"/>
        <w:numPr>
          <w:ilvl w:val="0"/>
          <w:numId w:val="0"/>
        </w:numPr>
        <w:ind w:left="1418"/>
      </w:pPr>
    </w:p>
    <w:p w14:paraId="25F91EE4" w14:textId="77777777" w:rsidR="00B8410E" w:rsidRPr="0041776F" w:rsidRDefault="00B8410E" w:rsidP="00B8410E">
      <w:pPr>
        <w:pStyle w:val="OpstilmbogstavAlta"/>
        <w:numPr>
          <w:ilvl w:val="0"/>
          <w:numId w:val="7"/>
        </w:numPr>
        <w:ind w:left="1418"/>
      </w:pPr>
      <w:r w:rsidRPr="0041776F">
        <w:t>hvorved Databehandleren kun giver dets ansatte adgang til Persondata via sporbare kontoer, der kan spores ved navn og som ved brug bliver tilstrækkelig logget;</w:t>
      </w:r>
    </w:p>
    <w:p w14:paraId="6122E7E5" w14:textId="77777777" w:rsidR="00B8410E" w:rsidRPr="0041776F" w:rsidRDefault="00B8410E" w:rsidP="00B8410E">
      <w:pPr>
        <w:pStyle w:val="Listeafsnit"/>
      </w:pPr>
    </w:p>
    <w:p w14:paraId="13271895" w14:textId="77777777" w:rsidR="00B8410E" w:rsidRPr="0041776F" w:rsidRDefault="00B8410E" w:rsidP="00B8410E">
      <w:pPr>
        <w:pStyle w:val="OpstilmbogstavAlta"/>
        <w:numPr>
          <w:ilvl w:val="0"/>
          <w:numId w:val="7"/>
        </w:numPr>
        <w:ind w:left="1418"/>
      </w:pPr>
      <w:r w:rsidRPr="0041776F">
        <w:t>der sikre Persondata imod uautoriseret og ulovlig opbevaring, Behandling, adgang eller offentliggørelse;</w:t>
      </w:r>
    </w:p>
    <w:p w14:paraId="5DE6BE2E" w14:textId="77777777" w:rsidR="00B8410E" w:rsidRPr="0041776F" w:rsidRDefault="00B8410E" w:rsidP="00B8410E">
      <w:pPr>
        <w:pStyle w:val="Listeafsnit"/>
      </w:pPr>
    </w:p>
    <w:p w14:paraId="781AD16F" w14:textId="77777777" w:rsidR="00B8410E" w:rsidRPr="0041776F" w:rsidRDefault="00B8410E" w:rsidP="00B8410E">
      <w:pPr>
        <w:pStyle w:val="OpstilmbogstavAlta"/>
        <w:numPr>
          <w:ilvl w:val="0"/>
          <w:numId w:val="7"/>
        </w:numPr>
        <w:ind w:left="1418"/>
      </w:pPr>
      <w:r w:rsidRPr="0041776F">
        <w:t>der systematiserer gentagne og periodiske procedurer vedrørende scanning, identifikation og afhjælpning af hidtil ukendte sikkerhedsproblemer på serverer, arbejdsstationer, netværker, udstyr og applikationer;</w:t>
      </w:r>
    </w:p>
    <w:p w14:paraId="37E190A7" w14:textId="77777777" w:rsidR="00B8410E" w:rsidRPr="0041776F" w:rsidRDefault="00B8410E" w:rsidP="00B8410E">
      <w:pPr>
        <w:pStyle w:val="Listeafsnit"/>
      </w:pPr>
    </w:p>
    <w:p w14:paraId="63771DEC" w14:textId="77777777" w:rsidR="00B8410E" w:rsidRPr="0041776F" w:rsidRDefault="00B8410E" w:rsidP="00B8410E">
      <w:pPr>
        <w:pStyle w:val="OpstilmbogstavAlta"/>
        <w:numPr>
          <w:ilvl w:val="0"/>
          <w:numId w:val="7"/>
        </w:numPr>
        <w:ind w:left="1418"/>
      </w:pPr>
      <w:r w:rsidRPr="0041776F">
        <w:t>hvis formål det er at identificere svagheder i relation til Behandling af Persondata i de systemer, der bliver brugt til at leverer Ydelsen til den Dataansvarlige.</w:t>
      </w:r>
    </w:p>
    <w:p w14:paraId="6BC3DCF8" w14:textId="77777777" w:rsidR="00B8410E" w:rsidRPr="0041776F" w:rsidRDefault="00B8410E" w:rsidP="00B8410E">
      <w:pPr>
        <w:pStyle w:val="OpstilmbogstavAlta"/>
        <w:numPr>
          <w:ilvl w:val="0"/>
          <w:numId w:val="0"/>
        </w:numPr>
        <w:ind w:left="1418"/>
      </w:pPr>
    </w:p>
    <w:p w14:paraId="5401080F" w14:textId="77777777" w:rsidR="00B8410E" w:rsidRPr="0041776F" w:rsidRDefault="00B8410E" w:rsidP="00B8410E">
      <w:pPr>
        <w:pStyle w:val="Niveau2"/>
        <w:numPr>
          <w:ilvl w:val="1"/>
          <w:numId w:val="6"/>
        </w:numPr>
      </w:pPr>
      <w:bookmarkStart w:id="15" w:name="_Ref477515343"/>
      <w:r w:rsidRPr="0041776F">
        <w:t xml:space="preserve">En beskrivelse af Databehandlerens foranstaltninger er vedlagt som Databehandleraftalens bilag </w:t>
      </w:r>
      <w:r w:rsidRPr="0041776F">
        <w:fldChar w:fldCharType="begin"/>
      </w:r>
      <w:r w:rsidRPr="0041776F">
        <w:instrText xml:space="preserve"> REF _Ref477515343 \r \h </w:instrText>
      </w:r>
      <w:r w:rsidRPr="0041776F">
        <w:fldChar w:fldCharType="separate"/>
      </w:r>
      <w:r>
        <w:t>7.2</w:t>
      </w:r>
      <w:r w:rsidRPr="0041776F">
        <w:fldChar w:fldCharType="end"/>
      </w:r>
      <w:r w:rsidRPr="0041776F">
        <w:t>.</w:t>
      </w:r>
      <w:bookmarkEnd w:id="15"/>
      <w:r w:rsidRPr="0041776F">
        <w:t xml:space="preserve"> </w:t>
      </w:r>
    </w:p>
    <w:p w14:paraId="469F0BEE" w14:textId="77777777" w:rsidR="00B8410E" w:rsidRPr="0041776F" w:rsidRDefault="00B8410E" w:rsidP="00B8410E">
      <w:pPr>
        <w:pStyle w:val="Niveau2"/>
        <w:numPr>
          <w:ilvl w:val="1"/>
          <w:numId w:val="6"/>
        </w:numPr>
      </w:pPr>
      <w:r w:rsidRPr="0041776F">
        <w:t xml:space="preserve">Databehandleren skal evaluere og forbedre de tekniske og organisatoriske foranstaltninger, som er indført, hvis kravene eller den teknologiske udvikling giver anledning hertil. </w:t>
      </w:r>
    </w:p>
    <w:p w14:paraId="5E997330" w14:textId="77777777" w:rsidR="00B8410E" w:rsidRPr="0041776F" w:rsidRDefault="00B8410E" w:rsidP="00B8410E">
      <w:pPr>
        <w:pStyle w:val="Overskrift1"/>
        <w:numPr>
          <w:ilvl w:val="0"/>
          <w:numId w:val="6"/>
        </w:numPr>
      </w:pPr>
      <w:bookmarkStart w:id="16" w:name="_Ref508271701"/>
      <w:r w:rsidRPr="0041776F">
        <w:t>adgang til revision</w:t>
      </w:r>
      <w:bookmarkEnd w:id="16"/>
    </w:p>
    <w:p w14:paraId="3FE4EE73" w14:textId="77777777" w:rsidR="00B8410E" w:rsidRPr="0041776F" w:rsidRDefault="00B8410E" w:rsidP="00B8410E">
      <w:pPr>
        <w:pStyle w:val="Niveau2"/>
        <w:numPr>
          <w:ilvl w:val="1"/>
          <w:numId w:val="6"/>
        </w:numPr>
      </w:pPr>
      <w:r w:rsidRPr="0041776F">
        <w:t xml:space="preserve">Databehandleren skal, når den Dataansvarlige fremsætter en begrundet anmodning herom, stille de nødvendige oplysninger til rådighed for den Dataansvarlige, </w:t>
      </w:r>
      <w:proofErr w:type="gramStart"/>
      <w:r w:rsidRPr="0041776F">
        <w:t>således at</w:t>
      </w:r>
      <w:proofErr w:type="gramEnd"/>
      <w:r w:rsidRPr="0041776F">
        <w:t xml:space="preserve"> den Dataansvarlige har mulighed for at danne sig et indtryk af, </w:t>
      </w:r>
      <w:r>
        <w:t xml:space="preserve">om og hvordan </w:t>
      </w:r>
      <w:r w:rsidRPr="0041776F">
        <w:t xml:space="preserve">Databehandleren opfylder Databehandleraftalen. Dette omfatter oplysninger vedrørende de sikkerhedsforanstaltninger, der refereres til i afsnit </w:t>
      </w:r>
      <w:r w:rsidRPr="0041776F">
        <w:fldChar w:fldCharType="begin"/>
      </w:r>
      <w:r w:rsidRPr="0041776F">
        <w:instrText xml:space="preserve"> REF _Ref481941797 \r \h </w:instrText>
      </w:r>
      <w:r w:rsidRPr="0041776F">
        <w:fldChar w:fldCharType="separate"/>
      </w:r>
      <w:r>
        <w:t>7</w:t>
      </w:r>
      <w:r w:rsidRPr="0041776F">
        <w:fldChar w:fldCharType="end"/>
      </w:r>
      <w:r w:rsidRPr="0041776F">
        <w:t>, oplysninger om backupprocedure</w:t>
      </w:r>
      <w:r>
        <w:t>r</w:t>
      </w:r>
      <w:r w:rsidRPr="0041776F">
        <w:t>, (forsøg eller mistanke om) hacking mv.</w:t>
      </w:r>
    </w:p>
    <w:p w14:paraId="4C9C8ED6" w14:textId="77777777" w:rsidR="00B8410E" w:rsidRPr="00F932E3" w:rsidRDefault="00B8410E" w:rsidP="00B8410E">
      <w:pPr>
        <w:pStyle w:val="Niveau2"/>
        <w:numPr>
          <w:ilvl w:val="0"/>
          <w:numId w:val="0"/>
        </w:numPr>
        <w:ind w:left="850"/>
        <w:rPr>
          <w:b/>
        </w:rPr>
      </w:pPr>
      <w:r>
        <w:rPr>
          <w:b/>
        </w:rPr>
        <w:t>[</w:t>
      </w:r>
      <w:r w:rsidRPr="00F932E3">
        <w:rPr>
          <w:b/>
          <w:highlight w:val="yellow"/>
        </w:rPr>
        <w:t xml:space="preserve">SLET: </w:t>
      </w:r>
      <w:r w:rsidRPr="00F932E3">
        <w:rPr>
          <w:highlight w:val="yellow"/>
        </w:rPr>
        <w:t>Tre alternativer</w:t>
      </w:r>
      <w:r>
        <w:t>]</w:t>
      </w:r>
      <w:r w:rsidRPr="00F932E3">
        <w:rPr>
          <w:b/>
        </w:rPr>
        <w:t xml:space="preserve"> </w:t>
      </w:r>
    </w:p>
    <w:p w14:paraId="2D209883" w14:textId="77777777" w:rsidR="00B8410E" w:rsidRDefault="00B8410E" w:rsidP="00B8410E">
      <w:pPr>
        <w:pStyle w:val="Niveau2"/>
        <w:numPr>
          <w:ilvl w:val="0"/>
          <w:numId w:val="0"/>
        </w:numPr>
        <w:ind w:left="850"/>
      </w:pPr>
      <w:r w:rsidRPr="00F932E3">
        <w:rPr>
          <w:highlight w:val="yellow"/>
        </w:rPr>
        <w:t>Alternativt 1:Revision</w:t>
      </w:r>
      <w:r>
        <w:t xml:space="preserve"> </w:t>
      </w:r>
    </w:p>
    <w:p w14:paraId="56879B3A" w14:textId="77777777" w:rsidR="00B8410E" w:rsidRDefault="00B8410E" w:rsidP="00B8410E">
      <w:pPr>
        <w:pStyle w:val="Niveau2"/>
        <w:numPr>
          <w:ilvl w:val="1"/>
          <w:numId w:val="6"/>
        </w:numPr>
      </w:pPr>
      <w:r>
        <w:t xml:space="preserve">[Databehandleren skal én gang årligt for egen regning indhente en revisionserklæring fra en uafhængig tredjepart angående Databehandlerens overholdelse af denne Databehandleraftale med tilhørende bilag. Der er mellem Parterne enighed om, at der kan anvendes følgende typer af revisionserklæringer: 27001 eller ISAE 3402. </w:t>
      </w:r>
      <w:r>
        <w:lastRenderedPageBreak/>
        <w:t xml:space="preserve">Revisionserklæringen sendes snarest muligt efter indhentelsen til den Dataansvarlige til orientering. </w:t>
      </w:r>
    </w:p>
    <w:p w14:paraId="2B5ADE68" w14:textId="77777777" w:rsidR="00B8410E" w:rsidRDefault="00B8410E" w:rsidP="00B8410E">
      <w:pPr>
        <w:pStyle w:val="Niveau2"/>
        <w:numPr>
          <w:ilvl w:val="1"/>
          <w:numId w:val="6"/>
        </w:numPr>
      </w:pPr>
      <w:r>
        <w:t>Den Dataansvarlige eller en repræsentant for den Dataansvarlige har herudover adgang til at føre tilsyn, herunder fysisk tilsyn, hos Databehandleren, når der efter den dataansvarliges vurdering opstår et behov herfor.</w:t>
      </w:r>
    </w:p>
    <w:p w14:paraId="5813098E" w14:textId="77777777" w:rsidR="00B8410E" w:rsidRDefault="00B8410E" w:rsidP="00B8410E">
      <w:pPr>
        <w:pStyle w:val="Niveau2"/>
        <w:numPr>
          <w:ilvl w:val="1"/>
          <w:numId w:val="6"/>
        </w:numPr>
      </w:pPr>
      <w:r>
        <w:t>På opfordring skal Databehandleren indhente tilsvarende revisionserklæring ud fra samme præmisser fra sine Underdatabehandlere og sende erklæringerne til den Dataansvarlige til orientering.]</w:t>
      </w:r>
    </w:p>
    <w:p w14:paraId="6D627B41" w14:textId="77777777" w:rsidR="00B8410E" w:rsidRDefault="00B8410E" w:rsidP="00B8410E">
      <w:pPr>
        <w:pStyle w:val="Niveau2"/>
        <w:numPr>
          <w:ilvl w:val="0"/>
          <w:numId w:val="0"/>
        </w:numPr>
        <w:ind w:left="850"/>
      </w:pPr>
      <w:r w:rsidRPr="003B0650">
        <w:rPr>
          <w:highlight w:val="yellow"/>
        </w:rPr>
        <w:t xml:space="preserve">Alternativ 2: Kontrol af </w:t>
      </w:r>
      <w:r w:rsidRPr="005C4682">
        <w:rPr>
          <w:highlight w:val="yellow"/>
        </w:rPr>
        <w:t xml:space="preserve">DA + ret til revision – </w:t>
      </w:r>
      <w:proofErr w:type="spellStart"/>
      <w:proofErr w:type="gramStart"/>
      <w:r w:rsidRPr="005C4682">
        <w:rPr>
          <w:highlight w:val="yellow"/>
        </w:rPr>
        <w:t>DAs</w:t>
      </w:r>
      <w:proofErr w:type="spellEnd"/>
      <w:proofErr w:type="gramEnd"/>
      <w:r w:rsidRPr="005C4682">
        <w:rPr>
          <w:highlight w:val="yellow"/>
        </w:rPr>
        <w:t xml:space="preserve"> regning</w:t>
      </w:r>
    </w:p>
    <w:p w14:paraId="761F5150" w14:textId="77777777" w:rsidR="00B8410E" w:rsidRDefault="00B8410E" w:rsidP="00B8410E">
      <w:pPr>
        <w:pStyle w:val="Niveau2"/>
        <w:numPr>
          <w:ilvl w:val="1"/>
          <w:numId w:val="6"/>
        </w:numPr>
      </w:pPr>
      <w:r>
        <w:t>[Den Dataansvarlige eller en repræsentant for den Dataansvarlige foretager årligt ét fysisk tilsyn vedrørende overholdelsen af denne Databehandleraftale hos Databehandleren.</w:t>
      </w:r>
    </w:p>
    <w:p w14:paraId="2A7F6F10" w14:textId="77777777" w:rsidR="00B8410E" w:rsidRDefault="00B8410E" w:rsidP="00B8410E">
      <w:pPr>
        <w:pStyle w:val="Niveau2"/>
        <w:numPr>
          <w:ilvl w:val="1"/>
          <w:numId w:val="6"/>
        </w:numPr>
      </w:pPr>
      <w:r>
        <w:t>Udover det planlagte tilsyn, kan der føres tilsyn med Databehandleren, når der efter den Dataansvarliges vurdering opstår et behov herfor.</w:t>
      </w:r>
    </w:p>
    <w:p w14:paraId="75D47C2C" w14:textId="77777777" w:rsidR="00B8410E" w:rsidRDefault="00B8410E" w:rsidP="00B8410E">
      <w:pPr>
        <w:pStyle w:val="Niveau2"/>
        <w:numPr>
          <w:ilvl w:val="1"/>
          <w:numId w:val="6"/>
        </w:numPr>
      </w:pPr>
      <w:r>
        <w:t>Den Dataansvarliges eventuelle udgifter i forbindelse med et fysisk tilsyn afholdes af den Dataansvarlige selv. Databehandleren er dog forpligtet til at afsætte de ressourcer og tid, der er nødvendig for, at den Dataansvarlige kan gennemføre sit tilsyn.</w:t>
      </w:r>
    </w:p>
    <w:p w14:paraId="73AC8922" w14:textId="77777777" w:rsidR="00B8410E" w:rsidRDefault="00B8410E" w:rsidP="00B8410E">
      <w:pPr>
        <w:pStyle w:val="Niveau2"/>
        <w:numPr>
          <w:ilvl w:val="1"/>
          <w:numId w:val="6"/>
        </w:numPr>
      </w:pPr>
      <w:r>
        <w:t>Databehandleren eller en repræsentant for Databehandleren foretager desuden ét årligt fysisk tilsyn vedrørende overholdelsen af denne Databehandleraftale hos Underdatabehandlere efter samme vilkår, som nævnt ovenfor. Dokumentation for de afholdte tilsyn sendes snarest muligt til orientering hos den Dataansvarlige.</w:t>
      </w:r>
    </w:p>
    <w:p w14:paraId="3D15E5F2" w14:textId="77777777" w:rsidR="00B8410E" w:rsidRDefault="00B8410E" w:rsidP="00B8410E">
      <w:pPr>
        <w:pStyle w:val="Niveau2"/>
        <w:numPr>
          <w:ilvl w:val="1"/>
          <w:numId w:val="6"/>
        </w:numPr>
      </w:pPr>
      <w:r>
        <w:t xml:space="preserve">Den Dataansvarlige kan, hvis den Dataansvarligt finder det nødvendigt, vælge at initiere og deltage på en fysisk inspektion hos Underdatabehandleren. Dette kan blive aktuelt, </w:t>
      </w:r>
      <w:proofErr w:type="gramStart"/>
      <w:r>
        <w:t>såfremt</w:t>
      </w:r>
      <w:proofErr w:type="gramEnd"/>
      <w:r>
        <w:t xml:space="preserve"> den Dataansvarlige vurderer, at Databehandlerens tilsyn med Underdatabehandleren ikke har givet den Dataansvarlige tilstrækkelig sikkerhed for, at Behandlingen hos Underdatabehandleren sker i overensstemmelse med denne Databehandleraftale. </w:t>
      </w:r>
    </w:p>
    <w:p w14:paraId="0C2353DA" w14:textId="77777777" w:rsidR="00B8410E" w:rsidRDefault="00B8410E" w:rsidP="00B8410E">
      <w:pPr>
        <w:pStyle w:val="Niveau2"/>
        <w:numPr>
          <w:ilvl w:val="1"/>
          <w:numId w:val="6"/>
        </w:numPr>
      </w:pPr>
      <w:r>
        <w:t>Den Dataansvarliges eventuelle deltagelse i et tilsyn hos Underdatabehandleren ændrer ikke ved, at Databehandleren også herefter har det fulde ansvar for Underdatabehandlerens overholdelse af Gældende Ret og Databehandleraftalen.</w:t>
      </w:r>
    </w:p>
    <w:p w14:paraId="42548AFE" w14:textId="77777777" w:rsidR="00B8410E" w:rsidRPr="0041776F" w:rsidRDefault="00B8410E" w:rsidP="00B8410E">
      <w:pPr>
        <w:pStyle w:val="Niveau2"/>
        <w:numPr>
          <w:ilvl w:val="1"/>
          <w:numId w:val="6"/>
        </w:numPr>
      </w:pPr>
      <w:r w:rsidRPr="0041776F">
        <w:t xml:space="preserve">Den Dataansvarlige kan </w:t>
      </w:r>
      <w:r>
        <w:t xml:space="preserve">herudover </w:t>
      </w:r>
      <w:r w:rsidRPr="0041776F">
        <w:t xml:space="preserve">udføre revision af Databehandlerens overholdelse af Databehandleraftalen op til én gang pr. kalenderår. </w:t>
      </w:r>
      <w:proofErr w:type="gramStart"/>
      <w:r w:rsidRPr="0041776F">
        <w:t>Såfremt</w:t>
      </w:r>
      <w:proofErr w:type="gramEnd"/>
      <w:r w:rsidRPr="0041776F">
        <w:t xml:space="preserve"> en tredjepart skal fortage revisionen, skal den Dataansvarlige udarbejde en skriftlig fortrolighedsaftale med tredjeparten, som skal godkendes af Databehandleren, inden denne udfører revision. </w:t>
      </w:r>
    </w:p>
    <w:p w14:paraId="4064FFF9" w14:textId="77777777" w:rsidR="00B8410E" w:rsidRPr="0041776F" w:rsidRDefault="00B8410E" w:rsidP="00B8410E">
      <w:pPr>
        <w:pStyle w:val="Niveau2"/>
        <w:numPr>
          <w:ilvl w:val="1"/>
          <w:numId w:val="6"/>
        </w:numPr>
      </w:pPr>
      <w:r w:rsidRPr="0041776F">
        <w:t>For at anmode om revision skal den Dataansvarlige indsende en detaljeret plan for den foreslåede revision senest fire (4) uger før den foreslåede dato for revisionen til Databehandleren, der beskriver det forventede omfang, varighed af, samt startdatoen for revisionen. Databehandleren skal herefter gennemgå planen for revision og oplyse den Dataansvarlige om eventuelle betænkninger eller spørgsmål herom (</w:t>
      </w:r>
      <w:proofErr w:type="gramStart"/>
      <w:r w:rsidRPr="0041776F">
        <w:t>eksempelvis</w:t>
      </w:r>
      <w:proofErr w:type="gramEnd"/>
      <w:r w:rsidRPr="0041776F">
        <w:t xml:space="preserve"> enhver anmodning om oplysninger, der kan kompromittere Databehandlerens forretning, sikkerhed, privatliv, ansættelsesforhold eller andre relevante politikker). Databehandleren og den Dataansvarlige skal i samarbejde blive enige om en endelig plan for revisionen. Hvis der ønskes udført revision på et område, der er adresseret i en SSAE 16/ISAE 3402 Type 2, ISO, NIST, PCI DSS, HIPAA eller en lignende revisionsrapport, der er udført af en kvalificeret tredjepart indenfor de seneste tolv (12) måneder, og Databehandleren bekræfter, at han ikke har kendskab til nogle materielle ændringer, der kan påvirke </w:t>
      </w:r>
      <w:r w:rsidRPr="0041776F">
        <w:lastRenderedPageBreak/>
        <w:t xml:space="preserve">resultatet af den udførte revision, indvilliger den Dataansvarlige i at godkende disse resultater, i stedet for at anmode om en revision af de områder, der er omfattet af rapporten. </w:t>
      </w:r>
    </w:p>
    <w:p w14:paraId="7DBCDB28" w14:textId="77777777" w:rsidR="00B8410E" w:rsidRPr="0041776F" w:rsidRDefault="00B8410E" w:rsidP="00B8410E">
      <w:pPr>
        <w:pStyle w:val="Niveau2"/>
        <w:numPr>
          <w:ilvl w:val="1"/>
          <w:numId w:val="6"/>
        </w:numPr>
      </w:pPr>
      <w:r w:rsidRPr="0041776F">
        <w:t xml:space="preserve">Revisionen skal udføres indenfor almindelig åbningstid på det sted, der er genstand for Databehandlerens forpligtigelser, og må ikke forstyrre Databehandlerens forretningsaktiviteter unødigt. </w:t>
      </w:r>
    </w:p>
    <w:p w14:paraId="5130765B" w14:textId="77777777" w:rsidR="00B8410E" w:rsidRPr="0041776F" w:rsidRDefault="00B8410E" w:rsidP="00B8410E">
      <w:pPr>
        <w:pStyle w:val="Niveau2"/>
        <w:numPr>
          <w:ilvl w:val="1"/>
          <w:numId w:val="6"/>
        </w:numPr>
      </w:pPr>
      <w:r w:rsidRPr="0041776F">
        <w:t xml:space="preserve">Den Dataansvarlige må kun bruge revisionsrapporterne med henblik på at opfylde sine retlige forpligtigelser vedrørende revision eller til at bekræfte, at kravene i Databehandleraftalen overholdes. </w:t>
      </w:r>
    </w:p>
    <w:p w14:paraId="4B395F65" w14:textId="77777777" w:rsidR="00B8410E" w:rsidRDefault="00B8410E" w:rsidP="00B8410E">
      <w:pPr>
        <w:pStyle w:val="Niveau2"/>
        <w:numPr>
          <w:ilvl w:val="1"/>
          <w:numId w:val="6"/>
        </w:numPr>
      </w:pPr>
      <w:r w:rsidRPr="0041776F">
        <w:t xml:space="preserve">Enhver revision skal udføres for den Dataansvarliges regning. </w:t>
      </w:r>
      <w:proofErr w:type="gramStart"/>
      <w:r w:rsidRPr="0041776F">
        <w:t>Såfremt</w:t>
      </w:r>
      <w:proofErr w:type="gramEnd"/>
      <w:r w:rsidRPr="0041776F">
        <w:t xml:space="preserve"> den Dataansvarlige anmoder om assistance fra Databehandleren i forbindelse med revisionen, skal assistancen betragtes som en separat ydelse fra Databehandleren, hvis assistancen med revisionen kræver brug af interne, eksterne eller andre særlige ressourcer. Databehandleren skal indhente den Dataansvarliges skriftlige godkendelse og indgå aftale om betaling af eventuelle relaterede gebyrer, før der foretages en assistance med revisionen.</w:t>
      </w:r>
      <w:r>
        <w:t>]</w:t>
      </w:r>
      <w:r w:rsidRPr="0041776F">
        <w:t xml:space="preserve"> </w:t>
      </w:r>
    </w:p>
    <w:p w14:paraId="730D7377" w14:textId="77777777" w:rsidR="00B8410E" w:rsidRPr="005C4682" w:rsidRDefault="00B8410E" w:rsidP="00B8410E">
      <w:pPr>
        <w:pStyle w:val="Niveau2"/>
        <w:numPr>
          <w:ilvl w:val="1"/>
          <w:numId w:val="6"/>
        </w:numPr>
      </w:pPr>
      <w:r w:rsidRPr="005C4682">
        <w:rPr>
          <w:highlight w:val="yellow"/>
        </w:rPr>
        <w:t>Alternativ 3: DB egen kontrol</w:t>
      </w:r>
    </w:p>
    <w:p w14:paraId="66138AE6" w14:textId="77777777" w:rsidR="00B8410E" w:rsidRDefault="00B8410E" w:rsidP="00B8410E">
      <w:pPr>
        <w:pStyle w:val="Niveau2"/>
        <w:numPr>
          <w:ilvl w:val="1"/>
          <w:numId w:val="6"/>
        </w:numPr>
      </w:pPr>
      <w:r>
        <w:t xml:space="preserve">Databehandleren eller en repræsentant for Databehandleren foretager ét årligt tilsyn vedrørende overholdelsen af denne Databehandleraftale med tilhørende bilag. Der er mellem Parterne enighed om, at egenkontrollen skal være opbygget på baggrund af og med indhold ligesom anerkendte revisionserklæringer, som fx ISO 27001 eller ISAE 3402. Dokumentation for den afholdte egenkontrol, </w:t>
      </w:r>
      <w:proofErr w:type="gramStart"/>
      <w:r>
        <w:t>inklusiv</w:t>
      </w:r>
      <w:proofErr w:type="gramEnd"/>
      <w:r>
        <w:t xml:space="preserve"> kontrolrapporten skal snarest muligt sendes til orientering hos den Dataansvarlige.</w:t>
      </w:r>
    </w:p>
    <w:p w14:paraId="16C47E56" w14:textId="77777777" w:rsidR="00B8410E" w:rsidRDefault="00B8410E" w:rsidP="00B8410E">
      <w:pPr>
        <w:pStyle w:val="Niveau2"/>
        <w:numPr>
          <w:ilvl w:val="1"/>
          <w:numId w:val="6"/>
        </w:numPr>
      </w:pPr>
      <w:r>
        <w:t xml:space="preserve">Den Dataansvarlige kan, hvis den Dataansvarligt finder det nødvendigt, vælge at initiere og deltage på en fysisk inspektion hos Databehandleren. Dette kan blive aktuelt, </w:t>
      </w:r>
      <w:proofErr w:type="gramStart"/>
      <w:r>
        <w:t>såfremt</w:t>
      </w:r>
      <w:proofErr w:type="gramEnd"/>
      <w:r>
        <w:t xml:space="preserve"> den Dataansvarlige vurderer, at Databehandlerens tilsyn med sig selv ikke har givet den Dataansvarlige tilstrækkelig sikkerhed for, at Behandlingen sker i overensstemmelse med denne Databehandleraftale. </w:t>
      </w:r>
    </w:p>
    <w:p w14:paraId="0B2F687C" w14:textId="77777777" w:rsidR="00B8410E" w:rsidRPr="0041776F" w:rsidRDefault="00B8410E" w:rsidP="00B8410E">
      <w:pPr>
        <w:pStyle w:val="Niveau2"/>
        <w:numPr>
          <w:ilvl w:val="1"/>
          <w:numId w:val="6"/>
        </w:numPr>
      </w:pPr>
      <w:r w:rsidRPr="0041776F">
        <w:t xml:space="preserve">Den Dataansvarlige kan </w:t>
      </w:r>
      <w:r>
        <w:t xml:space="preserve">herudover </w:t>
      </w:r>
      <w:r w:rsidRPr="0041776F">
        <w:t xml:space="preserve">udføre revision af Databehandlerens overholdelse af Databehandleraftalen op til én gang pr. kalenderår. </w:t>
      </w:r>
      <w:proofErr w:type="gramStart"/>
      <w:r w:rsidRPr="0041776F">
        <w:t>Såfremt</w:t>
      </w:r>
      <w:proofErr w:type="gramEnd"/>
      <w:r w:rsidRPr="0041776F">
        <w:t xml:space="preserve"> en tredjepart skal fortage revisionen, skal den Dataansvarlige udarbejde en skriftlig fortrolighedsaftale med tredjeparten, som skal godkendes af Databehandleren, inden denne udfører revision. </w:t>
      </w:r>
    </w:p>
    <w:p w14:paraId="34C81C36" w14:textId="77777777" w:rsidR="00B8410E" w:rsidRPr="0041776F" w:rsidRDefault="00B8410E" w:rsidP="00B8410E">
      <w:pPr>
        <w:pStyle w:val="Niveau2"/>
        <w:numPr>
          <w:ilvl w:val="1"/>
          <w:numId w:val="6"/>
        </w:numPr>
      </w:pPr>
      <w:r w:rsidRPr="0041776F">
        <w:t>For at anmode om revision skal den Dataansvarlige indsende en detaljeret plan for den foreslåede revision senest fire (4) uger før den foreslåede dato for revisionen til Databehandleren, der beskriver det forventede omfang, varighed af, samt startdatoen for revisionen. Databehandleren skal herefter gennemgå planen for revision og oplyse den Dataansvarlige om eventuelle betænkninger eller spørgsmål herom (</w:t>
      </w:r>
      <w:proofErr w:type="gramStart"/>
      <w:r w:rsidRPr="0041776F">
        <w:t>eksempelvis</w:t>
      </w:r>
      <w:proofErr w:type="gramEnd"/>
      <w:r w:rsidRPr="0041776F">
        <w:t xml:space="preserve"> enhver anmodning om oplysninger, der kan kompromittere Databehandlerens forretning, sikkerhed, privatliv, ansættelsesforhold eller andre relevante politikker). Databehandleren og den Dataansvarlige skal i samarbejde blive enige om en endelig plan for revisionen. Hvis der ønskes udført revision på et område, der er adresseret i en SSAE 16/ISAE 3402 Type 2, ISO, NIST, PCI DSS, HIPAA eller en lignende revisionsrapport, der er udført af en kvalificeret tredjepart indenfor de seneste tolv (12) måneder, og Databehandleren bekræfter, at han ikke har kendskab til nogle materielle ændringer, der kan påvirke resultatet af den udførte revision, indvilliger den Dataansvarlige i at godkende disse resultater, i stedet for at anmode om en revision af de områder, der er omfattet af rapporten. </w:t>
      </w:r>
    </w:p>
    <w:p w14:paraId="7BEF222C" w14:textId="77777777" w:rsidR="00B8410E" w:rsidRPr="0041776F" w:rsidRDefault="00B8410E" w:rsidP="00B8410E">
      <w:pPr>
        <w:pStyle w:val="Niveau2"/>
        <w:numPr>
          <w:ilvl w:val="1"/>
          <w:numId w:val="6"/>
        </w:numPr>
      </w:pPr>
      <w:r w:rsidRPr="0041776F">
        <w:lastRenderedPageBreak/>
        <w:t xml:space="preserve">Revisionen skal udføres indenfor almindelig åbningstid på det sted, der er genstand for Databehandlerens forpligtigelser, og må ikke forstyrre Databehandlerens forretningsaktiviteter unødigt. </w:t>
      </w:r>
    </w:p>
    <w:p w14:paraId="1FFEFB08" w14:textId="77777777" w:rsidR="00B8410E" w:rsidRPr="0041776F" w:rsidRDefault="00B8410E" w:rsidP="00B8410E">
      <w:pPr>
        <w:pStyle w:val="Niveau2"/>
        <w:numPr>
          <w:ilvl w:val="1"/>
          <w:numId w:val="6"/>
        </w:numPr>
      </w:pPr>
      <w:r w:rsidRPr="0041776F">
        <w:t xml:space="preserve">Den Dataansvarlige må kun bruge revisionsrapporterne med henblik på at opfylde sine retlige forpligtigelser vedrørende revision eller til at bekræfte, at kravene i Databehandleraftalen overholdes. </w:t>
      </w:r>
    </w:p>
    <w:p w14:paraId="13F11DED" w14:textId="77777777" w:rsidR="00B8410E" w:rsidRDefault="00B8410E" w:rsidP="00B8410E">
      <w:pPr>
        <w:pStyle w:val="Niveau2"/>
        <w:numPr>
          <w:ilvl w:val="1"/>
          <w:numId w:val="6"/>
        </w:numPr>
      </w:pPr>
      <w:r w:rsidRPr="0041776F">
        <w:t xml:space="preserve">Enhver revision skal udføres for den Dataansvarliges regning. </w:t>
      </w:r>
      <w:proofErr w:type="gramStart"/>
      <w:r w:rsidRPr="0041776F">
        <w:t>Såfremt</w:t>
      </w:r>
      <w:proofErr w:type="gramEnd"/>
      <w:r w:rsidRPr="0041776F">
        <w:t xml:space="preserve"> den Dataansvarlige anmoder om assistance fra Databehandleren i forbindelse med revisionen, skal assistancen betragtes som en separat ydelse fra Databehandleren, hvis assistancen med revisionen kræver brug af interne, eksterne eller andre særlige ressourcer. Databehandleren skal indhente den Dataansvarliges skriftlige godkendelse og indgå aftale om betaling af eventuelle relaterede gebyrer, før der foretages en assistance med revisionen.</w:t>
      </w:r>
      <w:r>
        <w:t>]</w:t>
      </w:r>
    </w:p>
    <w:p w14:paraId="2415D388" w14:textId="77777777" w:rsidR="00B8410E" w:rsidRPr="0041776F" w:rsidRDefault="00B8410E" w:rsidP="00B8410E">
      <w:pPr>
        <w:pStyle w:val="Overskrift1"/>
        <w:numPr>
          <w:ilvl w:val="0"/>
          <w:numId w:val="6"/>
        </w:numPr>
      </w:pPr>
      <w:r w:rsidRPr="0041776F">
        <w:t>Sikkerhedsbrud</w:t>
      </w:r>
    </w:p>
    <w:p w14:paraId="7460D85A" w14:textId="77777777" w:rsidR="00B8410E" w:rsidRPr="0041776F" w:rsidRDefault="00B8410E" w:rsidP="00B8410E">
      <w:pPr>
        <w:pStyle w:val="Niveau2"/>
        <w:numPr>
          <w:ilvl w:val="1"/>
          <w:numId w:val="6"/>
        </w:numPr>
      </w:pPr>
      <w:r w:rsidRPr="0041776F">
        <w:t xml:space="preserve">I tilfælde af et Sikkerhedsbrud skal Databehandleren uden unødig forsinkelse underrette den Dataansvarlige herom. Underretningen skal om muligt ske senest 24 timer efter, at Sikkerhedsbruddet er opdaget, sådan at den Dataansvarlige har mulighed for at efterleve sin eventuelle forpligtelse til at anmelde bruddet til tilsynsmyndigheden (Datatilsynet) indenfor 72 timer. </w:t>
      </w:r>
      <w:r>
        <w:t xml:space="preserve">Databehandleren skal ikke foretage anmeldelse af brud, der vedrører Persondata, som behandles for den Dataansvarlige. </w:t>
      </w:r>
    </w:p>
    <w:p w14:paraId="4258EDA1" w14:textId="77777777" w:rsidR="00B8410E" w:rsidRPr="0041776F" w:rsidRDefault="00B8410E" w:rsidP="00B8410E">
      <w:pPr>
        <w:pStyle w:val="Niveau2"/>
        <w:numPr>
          <w:ilvl w:val="1"/>
          <w:numId w:val="6"/>
        </w:numPr>
      </w:pPr>
      <w:r w:rsidRPr="0041776F">
        <w:t xml:space="preserve">Underretningen </w:t>
      </w:r>
      <w:r>
        <w:t xml:space="preserve">til den Dataansvarlige </w:t>
      </w:r>
      <w:r w:rsidRPr="0041776F">
        <w:t>skal indeholde en beskrivelse af:</w:t>
      </w:r>
    </w:p>
    <w:p w14:paraId="68A119EB" w14:textId="77777777" w:rsidR="00B8410E" w:rsidRPr="0041776F" w:rsidRDefault="00B8410E" w:rsidP="00B8410E">
      <w:pPr>
        <w:pStyle w:val="Niveau3"/>
        <w:numPr>
          <w:ilvl w:val="2"/>
          <w:numId w:val="6"/>
        </w:numPr>
        <w:tabs>
          <w:tab w:val="clear" w:pos="850"/>
        </w:tabs>
        <w:ind w:left="1701"/>
      </w:pPr>
      <w:r w:rsidRPr="0041776F">
        <w:t>Sikkerhedsbruddets karakter og de foranstaltninger, som Databehandleren foreslår, at der tages, eller som Databehandleren allerede har taget for at begrænse de negative konsekvenser heraf,</w:t>
      </w:r>
    </w:p>
    <w:p w14:paraId="076C43D0" w14:textId="77777777" w:rsidR="00B8410E" w:rsidRPr="0041776F" w:rsidRDefault="00B8410E" w:rsidP="00B8410E">
      <w:pPr>
        <w:pStyle w:val="Niveau3"/>
        <w:numPr>
          <w:ilvl w:val="2"/>
          <w:numId w:val="6"/>
        </w:numPr>
        <w:tabs>
          <w:tab w:val="clear" w:pos="850"/>
        </w:tabs>
        <w:ind w:left="1701"/>
      </w:pPr>
      <w:r w:rsidRPr="0041776F">
        <w:t>kategorierne og det omtrentlige antal berørte Datasubjekter og kategorierne og det omtrentlige ansat berørte registreringer af Persondata</w:t>
      </w:r>
    </w:p>
    <w:p w14:paraId="5F722434" w14:textId="77777777" w:rsidR="00B8410E" w:rsidRPr="0041776F" w:rsidRDefault="00B8410E" w:rsidP="00B8410E">
      <w:pPr>
        <w:pStyle w:val="Niveau3"/>
        <w:numPr>
          <w:ilvl w:val="2"/>
          <w:numId w:val="6"/>
        </w:numPr>
        <w:tabs>
          <w:tab w:val="clear" w:pos="850"/>
        </w:tabs>
        <w:ind w:left="1701"/>
      </w:pPr>
      <w:r w:rsidRPr="0041776F">
        <w:t xml:space="preserve">de konstaterede og de sandsynlige konsekvenser som Sikkerhedsbruddet har for Behandlingen af Persondata og de foranstaltninger, der er taget eller som foreslås taget af Databehandleren for at afhjælpe disse konsekvenser. </w:t>
      </w:r>
    </w:p>
    <w:p w14:paraId="38E3CE16" w14:textId="77777777" w:rsidR="00B8410E" w:rsidRPr="0041776F" w:rsidRDefault="00B8410E" w:rsidP="00B8410E">
      <w:pPr>
        <w:pStyle w:val="Niveau2"/>
        <w:numPr>
          <w:ilvl w:val="1"/>
          <w:numId w:val="6"/>
        </w:numPr>
      </w:pPr>
      <w:r w:rsidRPr="0041776F">
        <w:t xml:space="preserve">Så snart Databehandleren opdager et Sikkerhedsbrud, skal denne straks foretage de nødvendige foranstaltninger for at begrænse de negative konsekvenser af Sikkerhedsbruddet og for at forhindre gentagelse heraf. </w:t>
      </w:r>
    </w:p>
    <w:p w14:paraId="1665EAC0" w14:textId="77777777" w:rsidR="00B8410E" w:rsidRPr="0041776F" w:rsidRDefault="00B8410E" w:rsidP="00B8410E">
      <w:pPr>
        <w:pStyle w:val="Niveau2"/>
        <w:numPr>
          <w:ilvl w:val="1"/>
          <w:numId w:val="6"/>
        </w:numPr>
      </w:pPr>
      <w:r w:rsidRPr="0041776F">
        <w:t xml:space="preserve">Databehandleren har en databeredskabsplan, som tillader Databehandleren at informere den Dataansvarlige om Sikkerhedsbrud og videre tillader Parterne at arbejde effektivt sammen for at håndtere hændelsen. </w:t>
      </w:r>
    </w:p>
    <w:p w14:paraId="5EEB8989" w14:textId="77777777" w:rsidR="00B8410E" w:rsidRPr="0041776F" w:rsidRDefault="00B8410E" w:rsidP="00B8410E">
      <w:pPr>
        <w:pStyle w:val="Niveau2"/>
        <w:numPr>
          <w:ilvl w:val="1"/>
          <w:numId w:val="6"/>
        </w:numPr>
      </w:pPr>
      <w:r w:rsidRPr="0041776F">
        <w:t xml:space="preserve">Hvis den Dataansvarlige eller Databehandleren opdager et Sikkerhedsbrud, meddeler den dette til den anden Part, og begge Parter træffer alle de nødvendige foranstaltninger i overensstemmelse med Gældende Ret for at forhindre eller begrænse yderligere overtrædelser eller Sikkerhedsbrud i relation til Behandlingen af Persondata. </w:t>
      </w:r>
    </w:p>
    <w:p w14:paraId="0D08390B" w14:textId="77777777" w:rsidR="00B8410E" w:rsidRPr="0041776F" w:rsidRDefault="00B8410E" w:rsidP="00B8410E">
      <w:pPr>
        <w:pStyle w:val="Niveau2"/>
        <w:numPr>
          <w:ilvl w:val="1"/>
          <w:numId w:val="6"/>
        </w:numPr>
      </w:pPr>
      <w:r w:rsidRPr="0041776F">
        <w:t xml:space="preserve">Hvis den Dataansvarlige er underlagt en pligt til at anmelde Sikkerhedsbruddet, skal Databehandleren assistere og vejlede den Dataansvarlige herom på forespørgsel fra den Dataansvarlige. </w:t>
      </w:r>
    </w:p>
    <w:p w14:paraId="0F812088" w14:textId="77777777" w:rsidR="00B8410E" w:rsidRPr="0041776F" w:rsidRDefault="00B8410E" w:rsidP="00B8410E">
      <w:pPr>
        <w:pStyle w:val="Overskrift1"/>
        <w:numPr>
          <w:ilvl w:val="0"/>
          <w:numId w:val="6"/>
        </w:numPr>
      </w:pPr>
      <w:r w:rsidRPr="0041776F">
        <w:lastRenderedPageBreak/>
        <w:t>ANSVAR</w:t>
      </w:r>
    </w:p>
    <w:p w14:paraId="67C9CA76" w14:textId="77777777" w:rsidR="00B8410E" w:rsidRDefault="00B8410E" w:rsidP="00B8410E">
      <w:pPr>
        <w:pStyle w:val="Niveau2"/>
        <w:numPr>
          <w:ilvl w:val="1"/>
          <w:numId w:val="6"/>
        </w:numPr>
      </w:pPr>
      <w:bookmarkStart w:id="17" w:name="_Ref513455960"/>
      <w:r>
        <w:t>[</w:t>
      </w:r>
      <w:r w:rsidRPr="0041776F">
        <w:t xml:space="preserve">Hvis Databehandleren ikke overholder sine forpligtelser eller på anden vis bryder Databehandleraftalen, </w:t>
      </w:r>
      <w:r>
        <w:t>som følge af Databehandlerens handlinger eller undladelser, er Databehandleren ansvarlig for bøder og økonomiske tab lidt hos den Dataansvarlige.</w:t>
      </w:r>
      <w:bookmarkEnd w:id="17"/>
      <w:r>
        <w:t xml:space="preserve"> </w:t>
      </w:r>
    </w:p>
    <w:p w14:paraId="4368EE87" w14:textId="77777777" w:rsidR="00B8410E" w:rsidRDefault="00B8410E" w:rsidP="00B8410E">
      <w:pPr>
        <w:pStyle w:val="Niveau2"/>
        <w:numPr>
          <w:ilvl w:val="1"/>
          <w:numId w:val="6"/>
        </w:numPr>
      </w:pPr>
      <w:bookmarkStart w:id="18" w:name="_Hlk513456036"/>
      <w:r w:rsidRPr="0041776F">
        <w:t>I dette tilfælde vil den Dataansvarlige være berettiget til at kræve erstatning for tab og omkostninger afholdt som følge af den manglende overholdelse under forudsætning af, at Databehandlerens manglende overholdelse ikke skyldes den Dataansvarliges misligholdelse af Databehandleraftalen.</w:t>
      </w:r>
      <w:r>
        <w:t>]</w:t>
      </w:r>
      <w:r w:rsidRPr="0041776F">
        <w:t xml:space="preserve"> </w:t>
      </w:r>
    </w:p>
    <w:p w14:paraId="2B938CD5" w14:textId="77777777" w:rsidR="00B8410E" w:rsidRDefault="00B8410E" w:rsidP="00B8410E">
      <w:pPr>
        <w:pStyle w:val="Niveau2"/>
        <w:numPr>
          <w:ilvl w:val="0"/>
          <w:numId w:val="0"/>
        </w:numPr>
        <w:ind w:left="850"/>
      </w:pPr>
      <w:r w:rsidRPr="00D05BC5">
        <w:rPr>
          <w:highlight w:val="yellow"/>
        </w:rPr>
        <w:t>Alternativ til 10.1 -10.2</w:t>
      </w:r>
    </w:p>
    <w:p w14:paraId="568E8E69" w14:textId="77777777" w:rsidR="00B8410E" w:rsidRDefault="00B8410E" w:rsidP="00B8410E">
      <w:pPr>
        <w:pStyle w:val="Niveau2"/>
        <w:numPr>
          <w:ilvl w:val="1"/>
          <w:numId w:val="6"/>
        </w:numPr>
      </w:pPr>
      <w:bookmarkStart w:id="19" w:name="_Ref513115795"/>
      <w:r>
        <w:t>[</w:t>
      </w:r>
      <w:r w:rsidRPr="0041776F">
        <w:t xml:space="preserve">Hvis Databehandleren ikke overholder sine forpligtelser eller på anden vis bryder Databehandleraftalen, </w:t>
      </w:r>
      <w:r>
        <w:t xml:space="preserve">som følge af Databehandlerens handlinger eller undladelser, er Databehandleren ansvarlig for bøder og direkte økonomiske tab lidt hos den Dataansvarlige. </w:t>
      </w:r>
    </w:p>
    <w:p w14:paraId="35FA337A" w14:textId="77777777" w:rsidR="00B8410E" w:rsidRDefault="00B8410E" w:rsidP="00B8410E">
      <w:pPr>
        <w:pStyle w:val="Niveau2"/>
        <w:numPr>
          <w:ilvl w:val="1"/>
          <w:numId w:val="6"/>
        </w:numPr>
      </w:pPr>
      <w:r>
        <w:t xml:space="preserve">Uanset afsnit </w:t>
      </w:r>
      <w:r>
        <w:fldChar w:fldCharType="begin"/>
      </w:r>
      <w:r>
        <w:instrText xml:space="preserve"> REF _Ref513455960 \r \h </w:instrText>
      </w:r>
      <w:r>
        <w:fldChar w:fldCharType="separate"/>
      </w:r>
      <w:r>
        <w:t>10.1</w:t>
      </w:r>
      <w:r>
        <w:fldChar w:fldCharType="end"/>
      </w:r>
      <w:r>
        <w:t xml:space="preserve"> er Databehandleren aldrig ansvarlig for </w:t>
      </w:r>
      <w:bookmarkEnd w:id="19"/>
      <w:r>
        <w:t xml:space="preserve">den Dataansvarliges handlinger og udeladelser. </w:t>
      </w:r>
      <w:proofErr w:type="gramStart"/>
      <w:r>
        <w:t>Endvidere</w:t>
      </w:r>
      <w:proofErr w:type="gramEnd"/>
      <w:r>
        <w:t xml:space="preserve"> er Databehandleren ikke ansvarlig for egne handlinger og udeladelser, hvis de er opstået som følge af Databehandlerens overholdelse af Gældende Ret. </w:t>
      </w:r>
    </w:p>
    <w:p w14:paraId="5A95A749" w14:textId="77777777" w:rsidR="00B8410E" w:rsidRDefault="00B8410E" w:rsidP="00B8410E">
      <w:pPr>
        <w:pStyle w:val="Niveau2"/>
        <w:numPr>
          <w:ilvl w:val="1"/>
          <w:numId w:val="6"/>
        </w:numPr>
      </w:pPr>
      <w:r>
        <w:t>I dette tilfælde vil den Dataansvarlige være berettiget til at kræve erstatning for tab og omkostninger afholdt som følge af den manglende overholdelse under forudsætning af, at Databehandlerens manglende overholdelse ikke skyldes den Dataansvarliges misligholdelse af Databehandleraftalen. Databehandlerens ansvar er begrænset som skrevet i Leveringsaftalen afsnit [</w:t>
      </w:r>
      <w:r w:rsidRPr="00D05BC5">
        <w:rPr>
          <w:highlight w:val="yellow"/>
        </w:rPr>
        <w:t>Indsæt afsnit</w:t>
      </w:r>
      <w:r>
        <w:t>].</w:t>
      </w:r>
    </w:p>
    <w:bookmarkEnd w:id="18"/>
    <w:p w14:paraId="3A3F7ECD" w14:textId="77777777" w:rsidR="00B8410E" w:rsidRPr="0041776F" w:rsidRDefault="00B8410E" w:rsidP="00B8410E">
      <w:pPr>
        <w:pStyle w:val="Overskrift1"/>
        <w:numPr>
          <w:ilvl w:val="0"/>
          <w:numId w:val="6"/>
        </w:numPr>
      </w:pPr>
      <w:r w:rsidRPr="0041776F">
        <w:t>Diverse</w:t>
      </w:r>
    </w:p>
    <w:p w14:paraId="30F04BCD" w14:textId="77777777" w:rsidR="00B8410E" w:rsidRPr="0041776F" w:rsidRDefault="00B8410E" w:rsidP="00B8410E">
      <w:pPr>
        <w:pStyle w:val="Niveau2"/>
        <w:numPr>
          <w:ilvl w:val="1"/>
          <w:numId w:val="6"/>
        </w:numPr>
      </w:pPr>
      <w:bookmarkStart w:id="20" w:name="_Ref508276752"/>
      <w:r w:rsidRPr="0041776F">
        <w:t xml:space="preserve">Databehandleraftalen er gældende så længe Databehandleren leverer de beskrevne Ydelser </w:t>
      </w:r>
      <w:r>
        <w:t xml:space="preserve">i Leveringsaftalen </w:t>
      </w:r>
      <w:r w:rsidRPr="0041776F">
        <w:t>til den Dataansvarlige eller Behandler Persondata på vegne af den Dataansvarlige</w:t>
      </w:r>
      <w:bookmarkEnd w:id="20"/>
      <w:r w:rsidRPr="0041776F">
        <w:t>.</w:t>
      </w:r>
    </w:p>
    <w:p w14:paraId="0D98BC56" w14:textId="77777777" w:rsidR="00B8410E" w:rsidRPr="0041776F" w:rsidRDefault="00B8410E" w:rsidP="00B8410E">
      <w:pPr>
        <w:pStyle w:val="Niveau2"/>
        <w:numPr>
          <w:ilvl w:val="1"/>
          <w:numId w:val="6"/>
        </w:numPr>
      </w:pPr>
      <w:bookmarkStart w:id="21" w:name="_Ref508276756"/>
      <w:r w:rsidRPr="0041776F">
        <w:t>Ved Databehandleraftalens udløb skal Databehandleren straks stille en kopi af al Persondata, som Databehandleren har Behandlet på vegne af den Dataansvarlige, til rådighed for denne</w:t>
      </w:r>
      <w:r>
        <w:t xml:space="preserve"> og på anmodning slette Persondata</w:t>
      </w:r>
      <w:r w:rsidRPr="0041776F">
        <w:t xml:space="preserve">. </w:t>
      </w:r>
      <w:bookmarkEnd w:id="21"/>
    </w:p>
    <w:p w14:paraId="377DDFF2" w14:textId="77777777" w:rsidR="00B8410E" w:rsidRPr="0041776F" w:rsidRDefault="00B8410E" w:rsidP="00B8410E">
      <w:pPr>
        <w:pStyle w:val="Niveau2"/>
        <w:numPr>
          <w:ilvl w:val="1"/>
          <w:numId w:val="6"/>
        </w:numPr>
      </w:pPr>
      <w:r w:rsidRPr="0041776F">
        <w:t xml:space="preserve">Databehandleraftalens punkt </w:t>
      </w:r>
      <w:r w:rsidRPr="0041776F">
        <w:fldChar w:fldCharType="begin"/>
      </w:r>
      <w:r w:rsidRPr="0041776F">
        <w:instrText xml:space="preserve"> REF _Ref508276752 \r \h </w:instrText>
      </w:r>
      <w:r w:rsidRPr="0041776F">
        <w:fldChar w:fldCharType="separate"/>
      </w:r>
      <w:r>
        <w:t>11.1</w:t>
      </w:r>
      <w:r w:rsidRPr="0041776F">
        <w:fldChar w:fldCharType="end"/>
      </w:r>
      <w:r w:rsidRPr="0041776F">
        <w:t xml:space="preserve"> og </w:t>
      </w:r>
      <w:r w:rsidRPr="0041776F">
        <w:fldChar w:fldCharType="begin"/>
      </w:r>
      <w:r w:rsidRPr="0041776F">
        <w:instrText xml:space="preserve"> REF _Ref508276756 \r \h </w:instrText>
      </w:r>
      <w:r w:rsidRPr="0041776F">
        <w:fldChar w:fldCharType="separate"/>
      </w:r>
      <w:r>
        <w:t>11.2</w:t>
      </w:r>
      <w:r w:rsidRPr="0041776F">
        <w:fldChar w:fldCharType="end"/>
      </w:r>
      <w:r w:rsidRPr="0041776F">
        <w:t xml:space="preserve"> har forrang overfor eventuelle tilsvarende bestemmelser i andre aftaler mellem Parterne, herunder i Leveringsaftalen. </w:t>
      </w:r>
    </w:p>
    <w:p w14:paraId="7305234C" w14:textId="77777777" w:rsidR="00B8410E" w:rsidRPr="0041776F" w:rsidRDefault="00B8410E" w:rsidP="00B8410E">
      <w:pPr>
        <w:pStyle w:val="Listeafsnit"/>
        <w:numPr>
          <w:ilvl w:val="1"/>
          <w:numId w:val="6"/>
        </w:numPr>
      </w:pPr>
      <w:r w:rsidRPr="0041776F">
        <w:t xml:space="preserve">Databehandleraftalen og Leveringsaftalen er indbyrdes afhængige og kan ikke opsiges særskilt. Databehandleraftalen kan dog – uden at opsige Leveringsaftalen – erstattes af en anden gyldig databehandleraftale. Uanset opsigelse af Parternes aftaler, vil bestemmelserne i Databehandleraftalen forblive i kraft frem til, at Databehandleren har ophørt med Behandlinger af Persondata på vegne af den Dataansvarlige, og at Databehandleren og eventuelle Underdatabehandlere har slettet alt Persondata omfattet af Databehandleraftalen. </w:t>
      </w:r>
    </w:p>
    <w:p w14:paraId="27281964" w14:textId="77777777" w:rsidR="00B8410E" w:rsidRPr="0041776F" w:rsidRDefault="00B8410E" w:rsidP="00B8410E">
      <w:pPr>
        <w:pStyle w:val="Listeafsnit"/>
        <w:ind w:left="850"/>
      </w:pPr>
    </w:p>
    <w:p w14:paraId="4862D1B1" w14:textId="77777777" w:rsidR="00B8410E" w:rsidRPr="0041776F" w:rsidRDefault="00B8410E" w:rsidP="00B8410E">
      <w:pPr>
        <w:pStyle w:val="Overskrift1"/>
        <w:numPr>
          <w:ilvl w:val="0"/>
          <w:numId w:val="6"/>
        </w:numPr>
      </w:pPr>
      <w:r w:rsidRPr="0041776F">
        <w:t>Fortrolighed</w:t>
      </w:r>
    </w:p>
    <w:p w14:paraId="12134E44" w14:textId="77777777" w:rsidR="00B8410E" w:rsidRPr="0041776F" w:rsidRDefault="00B8410E" w:rsidP="00B8410E">
      <w:pPr>
        <w:pStyle w:val="Niveau2"/>
        <w:numPr>
          <w:ilvl w:val="1"/>
          <w:numId w:val="6"/>
        </w:numPr>
      </w:pPr>
      <w:bookmarkStart w:id="22" w:name="_Ref508277378"/>
      <w:r w:rsidRPr="0041776F">
        <w:t xml:space="preserve">Enhver person, der er involveret i opfyldelsen af denne Databehandleraftale og som følge heraf opnår adgang til den Persondata, hvis fortrolige karakter vedkommende kender eller burde kende, og som ikke allerede som følge af deres stilling, deres profession eller </w:t>
      </w:r>
      <w:r w:rsidRPr="0041776F">
        <w:lastRenderedPageBreak/>
        <w:t xml:space="preserve">lovbestemte regler er underlagt en fortrolighedspligt, er forpligtiget til at bevare </w:t>
      </w:r>
      <w:proofErr w:type="spellStart"/>
      <w:r w:rsidRPr="0041776F">
        <w:t>Persondataens</w:t>
      </w:r>
      <w:proofErr w:type="spellEnd"/>
      <w:r w:rsidRPr="0041776F">
        <w:t xml:space="preserve"> fortrolighed.</w:t>
      </w:r>
      <w:bookmarkEnd w:id="22"/>
      <w:r w:rsidRPr="0041776F">
        <w:t xml:space="preserve"> </w:t>
      </w:r>
    </w:p>
    <w:p w14:paraId="09AE4DD0" w14:textId="77777777" w:rsidR="00B8410E" w:rsidRPr="0041776F" w:rsidRDefault="00B8410E" w:rsidP="00B8410E">
      <w:pPr>
        <w:pStyle w:val="Niveau2"/>
        <w:numPr>
          <w:ilvl w:val="1"/>
          <w:numId w:val="6"/>
        </w:numPr>
      </w:pPr>
      <w:r w:rsidRPr="0041776F">
        <w:t xml:space="preserve">Punkt </w:t>
      </w:r>
      <w:r w:rsidRPr="0041776F">
        <w:fldChar w:fldCharType="begin"/>
      </w:r>
      <w:r w:rsidRPr="0041776F">
        <w:instrText xml:space="preserve"> REF _Ref508277378 \r \h </w:instrText>
      </w:r>
      <w:r w:rsidRPr="0041776F">
        <w:fldChar w:fldCharType="separate"/>
      </w:r>
      <w:r>
        <w:t>12.1</w:t>
      </w:r>
      <w:r w:rsidRPr="0041776F">
        <w:fldChar w:fldCharType="end"/>
      </w:r>
      <w:r w:rsidRPr="0041776F">
        <w:t xml:space="preserve"> gælder ikke i de tilfælde, hvor det følger af Gældende Ret eller på anden vis som fremgår af punkt </w:t>
      </w:r>
      <w:r w:rsidRPr="0041776F">
        <w:fldChar w:fldCharType="begin"/>
      </w:r>
      <w:r w:rsidRPr="0041776F">
        <w:instrText xml:space="preserve"> REF _Ref508277934 \r \h </w:instrText>
      </w:r>
      <w:r w:rsidRPr="0041776F">
        <w:fldChar w:fldCharType="separate"/>
      </w:r>
      <w:r>
        <w:t>13.1</w:t>
      </w:r>
      <w:r w:rsidRPr="0041776F">
        <w:fldChar w:fldCharType="end"/>
      </w:r>
      <w:r w:rsidRPr="0041776F">
        <w:t xml:space="preserve"> nedenfor, at vedkommende er forpligtiget til at videregive de pågældende Persondata. </w:t>
      </w:r>
    </w:p>
    <w:p w14:paraId="7EEBE67F" w14:textId="77777777" w:rsidR="00B8410E" w:rsidRPr="0041776F" w:rsidRDefault="00B8410E" w:rsidP="00B8410E">
      <w:pPr>
        <w:pStyle w:val="Niveau2"/>
        <w:numPr>
          <w:ilvl w:val="1"/>
          <w:numId w:val="6"/>
        </w:numPr>
      </w:pPr>
      <w:r w:rsidRPr="0041776F">
        <w:t>Fortrolighedspligten gælder også efter Databehandleraftalens ophør.</w:t>
      </w:r>
    </w:p>
    <w:p w14:paraId="3AF69058" w14:textId="77777777" w:rsidR="00B8410E" w:rsidRPr="0041776F" w:rsidRDefault="00B8410E" w:rsidP="00B8410E">
      <w:pPr>
        <w:pStyle w:val="Overskrift1"/>
        <w:numPr>
          <w:ilvl w:val="0"/>
          <w:numId w:val="6"/>
        </w:numPr>
      </w:pPr>
      <w:r w:rsidRPr="0041776F">
        <w:t xml:space="preserve">Lovpligtig videregivelse </w:t>
      </w:r>
    </w:p>
    <w:p w14:paraId="200C63B3" w14:textId="77777777" w:rsidR="00B8410E" w:rsidRPr="0041776F" w:rsidRDefault="00B8410E" w:rsidP="00B8410E">
      <w:pPr>
        <w:pStyle w:val="Niveau2"/>
        <w:numPr>
          <w:ilvl w:val="1"/>
          <w:numId w:val="6"/>
        </w:numPr>
      </w:pPr>
      <w:bookmarkStart w:id="23" w:name="_Ref508277934"/>
      <w:r w:rsidRPr="0041776F">
        <w:t>Medmindre andet er påkrævet i henhold til Gældende Ret, skal Databehandleren straks underrette den Dataansvarlige om alle retslige, administrative eller voldgiftsretlige kendelser fra et forvaltnings- eller administrationsorgan eller fra en offentlig myndighed som Databehandleren modtager, og som vedrører den Persondata som Databehandleren Behandler på vegne af den Dataansvarlige. Hvis den Dataansvarlige anmoder herom, skal Databehandleren give den Dataansvarlige de oplysninger, som Databehandleren har i sin besiddelse, som kan opfylde tredjepartens påkrav samt enhver rimelig efterspurgt assistance for, at den Dataansvarlige kan imødekomme et lignende påkrav indenfor rimelig tid. Den Dataansvarlige anerkender, at Databehandleren ikke har ansvaret for at deltage direkte overfor den enhed, der måtte fremsætte krav herom.</w:t>
      </w:r>
      <w:bookmarkEnd w:id="23"/>
      <w:r w:rsidRPr="0041776F">
        <w:t xml:space="preserve"> </w:t>
      </w:r>
    </w:p>
    <w:p w14:paraId="16599ACE" w14:textId="77777777" w:rsidR="00B8410E" w:rsidRPr="0041776F" w:rsidRDefault="00B8410E" w:rsidP="00B8410E">
      <w:pPr>
        <w:pStyle w:val="Overskrift1"/>
        <w:numPr>
          <w:ilvl w:val="0"/>
          <w:numId w:val="6"/>
        </w:numPr>
      </w:pPr>
      <w:r w:rsidRPr="0041776F">
        <w:t xml:space="preserve">Meddelser </w:t>
      </w:r>
    </w:p>
    <w:p w14:paraId="06947CF9"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098B0F69"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36DAF667"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092B9D4C"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693E11D9"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0D3F963D"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5B7364EB"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74F38580"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3D55828D"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147E293A"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47004CEB"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7193ABB5"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492F44E0"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3572249C" w14:textId="77777777" w:rsidR="00B8410E" w:rsidRPr="0041776F" w:rsidRDefault="00B8410E" w:rsidP="00B8410E">
      <w:pPr>
        <w:pStyle w:val="Listeafsnit"/>
        <w:keepNext/>
        <w:numPr>
          <w:ilvl w:val="0"/>
          <w:numId w:val="8"/>
        </w:numPr>
        <w:spacing w:after="180"/>
        <w:ind w:left="851" w:hanging="851"/>
        <w:contextualSpacing w:val="0"/>
        <w:outlineLvl w:val="0"/>
        <w:rPr>
          <w:b/>
          <w:caps/>
          <w:vanish/>
          <w:kern w:val="28"/>
        </w:rPr>
      </w:pPr>
    </w:p>
    <w:p w14:paraId="76F34956" w14:textId="77777777" w:rsidR="00B8410E" w:rsidRDefault="00B8410E" w:rsidP="00B8410E">
      <w:pPr>
        <w:pStyle w:val="SANiveau2"/>
      </w:pPr>
      <w:r w:rsidRPr="0041776F">
        <w:t xml:space="preserve">Meddelelser, som afgives i medfør af Databehandleraftalen, skal sendes skriftligt pr. e-mail, som det er beskrevet i Leveringsaftalen. Enhver aftale mellem Parterne skal indgås skriftligt mellem Parterne, før aftalen er gyldig. </w:t>
      </w:r>
      <w:r>
        <w:t>Parterne kan i relation til Databehandleraftalen kontakte hinanden via nedenstående kontaktpersoner.</w:t>
      </w:r>
    </w:p>
    <w:tbl>
      <w:tblPr>
        <w:tblW w:w="4546" w:type="pct"/>
        <w:tblInd w:w="863" w:type="dxa"/>
        <w:tblLook w:val="04A0" w:firstRow="1" w:lastRow="0" w:firstColumn="1" w:lastColumn="0" w:noHBand="0" w:noVBand="1"/>
      </w:tblPr>
      <w:tblGrid>
        <w:gridCol w:w="4103"/>
        <w:gridCol w:w="4103"/>
      </w:tblGrid>
      <w:tr w:rsidR="00B8410E" w:rsidRPr="0041776F" w14:paraId="34AE5E1D" w14:textId="77777777" w:rsidTr="000079DA">
        <w:tc>
          <w:tcPr>
            <w:tcW w:w="4252" w:type="dxa"/>
            <w:hideMark/>
          </w:tcPr>
          <w:p w14:paraId="6E51722F" w14:textId="77777777" w:rsidR="00B8410E" w:rsidRPr="0041776F" w:rsidRDefault="00B8410E" w:rsidP="000079DA">
            <w:r w:rsidRPr="0041776F">
              <w:t>Navn:</w:t>
            </w:r>
          </w:p>
        </w:tc>
        <w:tc>
          <w:tcPr>
            <w:tcW w:w="4253" w:type="dxa"/>
          </w:tcPr>
          <w:p w14:paraId="45965E59" w14:textId="77777777" w:rsidR="00B8410E" w:rsidRPr="0041776F" w:rsidRDefault="00B8410E" w:rsidP="000079DA">
            <w:r w:rsidRPr="0041776F">
              <w:t>Navn:</w:t>
            </w:r>
          </w:p>
        </w:tc>
      </w:tr>
      <w:tr w:rsidR="00B8410E" w:rsidRPr="0041776F" w14:paraId="04C47FF5" w14:textId="77777777" w:rsidTr="000079DA">
        <w:tc>
          <w:tcPr>
            <w:tcW w:w="4252" w:type="dxa"/>
            <w:hideMark/>
          </w:tcPr>
          <w:p w14:paraId="205D59F3" w14:textId="77777777" w:rsidR="00B8410E" w:rsidRPr="0041776F" w:rsidRDefault="00B8410E" w:rsidP="000079DA">
            <w:r w:rsidRPr="0041776F">
              <w:t>Stilling</w:t>
            </w:r>
          </w:p>
        </w:tc>
        <w:tc>
          <w:tcPr>
            <w:tcW w:w="4253" w:type="dxa"/>
          </w:tcPr>
          <w:p w14:paraId="385089D5" w14:textId="77777777" w:rsidR="00B8410E" w:rsidRPr="0041776F" w:rsidRDefault="00B8410E" w:rsidP="000079DA">
            <w:r w:rsidRPr="0041776F">
              <w:t>Stilling</w:t>
            </w:r>
          </w:p>
        </w:tc>
      </w:tr>
      <w:tr w:rsidR="00B8410E" w:rsidRPr="0041776F" w14:paraId="4250C2EB" w14:textId="77777777" w:rsidTr="000079DA">
        <w:tc>
          <w:tcPr>
            <w:tcW w:w="4252" w:type="dxa"/>
          </w:tcPr>
          <w:p w14:paraId="016D89BD" w14:textId="77777777" w:rsidR="00B8410E" w:rsidRPr="0041776F" w:rsidRDefault="00B8410E" w:rsidP="000079DA">
            <w:r w:rsidRPr="0041776F">
              <w:t>Telefonnummer</w:t>
            </w:r>
          </w:p>
        </w:tc>
        <w:tc>
          <w:tcPr>
            <w:tcW w:w="4253" w:type="dxa"/>
          </w:tcPr>
          <w:p w14:paraId="6249BFD2" w14:textId="77777777" w:rsidR="00B8410E" w:rsidRPr="0041776F" w:rsidRDefault="00B8410E" w:rsidP="000079DA">
            <w:r w:rsidRPr="0041776F">
              <w:t>Telefonnummer</w:t>
            </w:r>
          </w:p>
        </w:tc>
      </w:tr>
      <w:tr w:rsidR="00B8410E" w:rsidRPr="0041776F" w14:paraId="4C647BD3" w14:textId="77777777" w:rsidTr="000079DA">
        <w:tc>
          <w:tcPr>
            <w:tcW w:w="4252" w:type="dxa"/>
            <w:hideMark/>
          </w:tcPr>
          <w:p w14:paraId="2F527854" w14:textId="77777777" w:rsidR="00B8410E" w:rsidRPr="0041776F" w:rsidRDefault="00B8410E" w:rsidP="000079DA">
            <w:r w:rsidRPr="0041776F">
              <w:t>E-mail</w:t>
            </w:r>
          </w:p>
        </w:tc>
        <w:tc>
          <w:tcPr>
            <w:tcW w:w="4253" w:type="dxa"/>
          </w:tcPr>
          <w:p w14:paraId="09DF08E2" w14:textId="77777777" w:rsidR="00B8410E" w:rsidRPr="0041776F" w:rsidRDefault="00B8410E" w:rsidP="000079DA">
            <w:r w:rsidRPr="0041776F">
              <w:t>E-mail</w:t>
            </w:r>
          </w:p>
        </w:tc>
      </w:tr>
    </w:tbl>
    <w:p w14:paraId="45EF308F" w14:textId="77777777" w:rsidR="00B8410E" w:rsidRDefault="00B8410E" w:rsidP="00B8410E">
      <w:pPr>
        <w:pStyle w:val="SANiveau2"/>
        <w:numPr>
          <w:ilvl w:val="0"/>
          <w:numId w:val="0"/>
        </w:numPr>
        <w:ind w:left="851"/>
      </w:pPr>
    </w:p>
    <w:p w14:paraId="0426AECD" w14:textId="77777777" w:rsidR="00B8410E" w:rsidRPr="0041776F" w:rsidRDefault="00B8410E" w:rsidP="00B8410E">
      <w:pPr>
        <w:pStyle w:val="SANiveau2"/>
      </w:pPr>
      <w:r>
        <w:t xml:space="preserve">Parterne er forpligtet til løbende at orientere hinanden skriftligt om eventuelle ændringer i de oplyste kontaktpersoner.  </w:t>
      </w:r>
    </w:p>
    <w:p w14:paraId="5B0CA193" w14:textId="77777777" w:rsidR="00B8410E" w:rsidRPr="0041776F" w:rsidRDefault="00B8410E" w:rsidP="00B8410E">
      <w:pPr>
        <w:pStyle w:val="Overskrift1"/>
        <w:numPr>
          <w:ilvl w:val="0"/>
          <w:numId w:val="6"/>
        </w:numPr>
      </w:pPr>
      <w:r w:rsidRPr="0041776F">
        <w:t>Lovvalg og værneting</w:t>
      </w:r>
    </w:p>
    <w:p w14:paraId="0E9F5999" w14:textId="77777777" w:rsidR="00B8410E" w:rsidRPr="0041776F" w:rsidRDefault="00B8410E" w:rsidP="00B8410E">
      <w:pPr>
        <w:pStyle w:val="Niveau2"/>
        <w:numPr>
          <w:ilvl w:val="1"/>
          <w:numId w:val="6"/>
        </w:numPr>
      </w:pPr>
      <w:r w:rsidRPr="0041776F">
        <w:t xml:space="preserve">Denne Databehandleraftale og enhver retlig tvist, der opstår i forbindelse med Databehandleraftalen (inklusiv tvister eller krav, der opstår uden for kontrakt) er underlagt dansk ret undtaget CISG og de international privatretlige regler. </w:t>
      </w:r>
    </w:p>
    <w:p w14:paraId="123D0A37" w14:textId="77777777" w:rsidR="00B8410E" w:rsidRPr="0041776F" w:rsidRDefault="00B8410E" w:rsidP="00B8410E">
      <w:pPr>
        <w:pStyle w:val="Niveau2"/>
        <w:numPr>
          <w:ilvl w:val="1"/>
          <w:numId w:val="6"/>
        </w:numPr>
      </w:pPr>
      <w:bookmarkStart w:id="24" w:name="_Ref508969003"/>
      <w:r w:rsidRPr="0041776F">
        <w:t>Parterne er enige om, at [</w:t>
      </w:r>
      <w:r w:rsidRPr="0041776F">
        <w:rPr>
          <w:highlight w:val="yellow"/>
        </w:rPr>
        <w:t>indsæt byret</w:t>
      </w:r>
      <w:r w:rsidRPr="0041776F">
        <w:t>] udgør værneting for enhver tvist eller krav, der opstår i forbindelse med denne Databehandleraftale eller indgåelse af samme (herunder ikke-kontraktretlige tvister eller krav).</w:t>
      </w:r>
      <w:bookmarkEnd w:id="24"/>
    </w:p>
    <w:p w14:paraId="4ABDAC55" w14:textId="77777777" w:rsidR="00B8410E" w:rsidRPr="0041776F" w:rsidRDefault="00B8410E" w:rsidP="00B8410E">
      <w:pPr>
        <w:keepNext/>
      </w:pPr>
    </w:p>
    <w:p w14:paraId="6989163D" w14:textId="77777777" w:rsidR="00B8410E" w:rsidRPr="0041776F" w:rsidRDefault="00B8410E" w:rsidP="00B8410E">
      <w:pPr>
        <w:pStyle w:val="OpstilmstregAlts"/>
        <w:numPr>
          <w:ilvl w:val="0"/>
          <w:numId w:val="0"/>
        </w:numPr>
        <w:jc w:val="center"/>
      </w:pPr>
      <w:r>
        <w:t xml:space="preserve">- </w:t>
      </w:r>
      <w:r w:rsidRPr="00C021E0">
        <w:rPr>
          <w:i/>
        </w:rPr>
        <w:t>Und</w:t>
      </w:r>
      <w:r>
        <w:rPr>
          <w:i/>
        </w:rPr>
        <w:t>er</w:t>
      </w:r>
      <w:r w:rsidRPr="00C021E0">
        <w:rPr>
          <w:i/>
        </w:rPr>
        <w:t xml:space="preserve">skrifterne følger på næste side </w:t>
      </w:r>
      <w:r>
        <w:t>-</w:t>
      </w:r>
    </w:p>
    <w:p w14:paraId="4B270870" w14:textId="77777777" w:rsidR="00B8410E" w:rsidRPr="0041776F" w:rsidRDefault="00B8410E" w:rsidP="00B8410E">
      <w:pPr>
        <w:keepNext/>
      </w:pPr>
    </w:p>
    <w:p w14:paraId="337B8834" w14:textId="77777777" w:rsidR="00B8410E" w:rsidRPr="0041776F" w:rsidRDefault="00B8410E" w:rsidP="00B8410E">
      <w:pPr>
        <w:keepNext/>
      </w:pPr>
    </w:p>
    <w:p w14:paraId="252512BA" w14:textId="77777777" w:rsidR="00B8410E" w:rsidRDefault="00B8410E" w:rsidP="00B8410E">
      <w:r>
        <w:br w:type="page"/>
      </w:r>
    </w:p>
    <w:p w14:paraId="1A4C2943" w14:textId="77777777" w:rsidR="00B8410E" w:rsidRPr="0041776F" w:rsidRDefault="00B8410E" w:rsidP="00B8410E">
      <w:r w:rsidRPr="0041776F">
        <w:lastRenderedPageBreak/>
        <w:t>Databehandleraftalen er udfærdiget elektronisk, underskrevet og scannet med en fælles kopi til begge Parter.</w:t>
      </w:r>
    </w:p>
    <w:p w14:paraId="76D7B1F3" w14:textId="77777777" w:rsidR="00B8410E" w:rsidRPr="0041776F" w:rsidRDefault="00B8410E" w:rsidP="00B8410E">
      <w:pPr>
        <w:keepNext/>
      </w:pPr>
    </w:p>
    <w:p w14:paraId="4BD2A379" w14:textId="77777777" w:rsidR="00B8410E" w:rsidRPr="0041776F" w:rsidRDefault="00B8410E" w:rsidP="00B8410E">
      <w:pPr>
        <w:keepNext/>
      </w:pPr>
    </w:p>
    <w:tbl>
      <w:tblPr>
        <w:tblW w:w="5118" w:type="pct"/>
        <w:tblInd w:w="-113" w:type="dxa"/>
        <w:tblLook w:val="04A0" w:firstRow="1" w:lastRow="0" w:firstColumn="1" w:lastColumn="0" w:noHBand="0" w:noVBand="1"/>
      </w:tblPr>
      <w:tblGrid>
        <w:gridCol w:w="4617"/>
        <w:gridCol w:w="4622"/>
      </w:tblGrid>
      <w:tr w:rsidR="00B8410E" w:rsidRPr="0041776F" w14:paraId="7E6C4303" w14:textId="77777777" w:rsidTr="000079DA">
        <w:tc>
          <w:tcPr>
            <w:tcW w:w="4785" w:type="dxa"/>
            <w:hideMark/>
          </w:tcPr>
          <w:p w14:paraId="6AD63DE2" w14:textId="77777777" w:rsidR="00B8410E" w:rsidRPr="0041776F" w:rsidRDefault="00B8410E" w:rsidP="000079DA">
            <w:r w:rsidRPr="0041776F">
              <w:t>Sted:</w:t>
            </w:r>
          </w:p>
        </w:tc>
        <w:tc>
          <w:tcPr>
            <w:tcW w:w="4790" w:type="dxa"/>
            <w:hideMark/>
          </w:tcPr>
          <w:p w14:paraId="3810FAA4" w14:textId="77777777" w:rsidR="00B8410E" w:rsidRPr="0041776F" w:rsidRDefault="00B8410E" w:rsidP="000079DA">
            <w:r w:rsidRPr="0041776F">
              <w:t>Sted:</w:t>
            </w:r>
          </w:p>
        </w:tc>
      </w:tr>
      <w:tr w:rsidR="00B8410E" w:rsidRPr="0041776F" w14:paraId="475BDA2A" w14:textId="77777777" w:rsidTr="000079DA">
        <w:tc>
          <w:tcPr>
            <w:tcW w:w="4785" w:type="dxa"/>
            <w:hideMark/>
          </w:tcPr>
          <w:p w14:paraId="1A53B757" w14:textId="77777777" w:rsidR="00B8410E" w:rsidRPr="0041776F" w:rsidRDefault="00B8410E" w:rsidP="000079DA">
            <w:r w:rsidRPr="0041776F">
              <w:t>Dato:</w:t>
            </w:r>
          </w:p>
        </w:tc>
        <w:tc>
          <w:tcPr>
            <w:tcW w:w="4790" w:type="dxa"/>
            <w:hideMark/>
          </w:tcPr>
          <w:p w14:paraId="18AD31CA" w14:textId="77777777" w:rsidR="00B8410E" w:rsidRPr="0041776F" w:rsidRDefault="00B8410E" w:rsidP="000079DA">
            <w:r w:rsidRPr="0041776F">
              <w:t>Dato:</w:t>
            </w:r>
          </w:p>
        </w:tc>
      </w:tr>
      <w:tr w:rsidR="00B8410E" w:rsidRPr="0041776F" w14:paraId="4FA8DFD9" w14:textId="77777777" w:rsidTr="000079DA">
        <w:tc>
          <w:tcPr>
            <w:tcW w:w="4785" w:type="dxa"/>
          </w:tcPr>
          <w:p w14:paraId="29CD578C" w14:textId="77777777" w:rsidR="00B8410E" w:rsidRPr="0041776F" w:rsidRDefault="00B8410E" w:rsidP="000079DA"/>
        </w:tc>
        <w:tc>
          <w:tcPr>
            <w:tcW w:w="4790" w:type="dxa"/>
          </w:tcPr>
          <w:p w14:paraId="45A46AFA" w14:textId="77777777" w:rsidR="00B8410E" w:rsidRPr="0041776F" w:rsidRDefault="00B8410E" w:rsidP="000079DA"/>
        </w:tc>
      </w:tr>
      <w:tr w:rsidR="00B8410E" w:rsidRPr="0041776F" w14:paraId="7C127ECF" w14:textId="77777777" w:rsidTr="000079DA">
        <w:tc>
          <w:tcPr>
            <w:tcW w:w="4785" w:type="dxa"/>
          </w:tcPr>
          <w:p w14:paraId="1CA0584F" w14:textId="77777777" w:rsidR="00B8410E" w:rsidRPr="0041776F" w:rsidRDefault="00B8410E" w:rsidP="000079DA">
            <w:pPr>
              <w:pStyle w:val="Bodytext0AltD"/>
              <w:spacing w:line="288" w:lineRule="auto"/>
              <w:jc w:val="both"/>
              <w:rPr>
                <w:lang w:val="da-DK"/>
              </w:rPr>
            </w:pPr>
          </w:p>
          <w:p w14:paraId="4E688552" w14:textId="77777777" w:rsidR="00B8410E" w:rsidRPr="0041776F" w:rsidRDefault="00B8410E" w:rsidP="000079DA">
            <w:pPr>
              <w:pStyle w:val="Bodytext0AltD"/>
              <w:spacing w:line="288" w:lineRule="auto"/>
              <w:jc w:val="both"/>
              <w:rPr>
                <w:lang w:val="da-DK"/>
              </w:rPr>
            </w:pPr>
          </w:p>
          <w:p w14:paraId="1ACF8497" w14:textId="77777777" w:rsidR="00B8410E" w:rsidRPr="0041776F" w:rsidRDefault="00B8410E" w:rsidP="000079DA">
            <w:pPr>
              <w:pStyle w:val="Bodytext0AltD"/>
              <w:spacing w:line="288" w:lineRule="auto"/>
              <w:jc w:val="both"/>
              <w:rPr>
                <w:lang w:val="da-DK"/>
              </w:rPr>
            </w:pPr>
            <w:r w:rsidRPr="0041776F">
              <w:rPr>
                <w:lang w:val="da-DK"/>
              </w:rPr>
              <w:t>_____________________________</w:t>
            </w:r>
          </w:p>
        </w:tc>
        <w:tc>
          <w:tcPr>
            <w:tcW w:w="4790" w:type="dxa"/>
          </w:tcPr>
          <w:p w14:paraId="261E5A9E" w14:textId="77777777" w:rsidR="00B8410E" w:rsidRPr="0041776F" w:rsidRDefault="00B8410E" w:rsidP="000079DA">
            <w:pPr>
              <w:pStyle w:val="Bodytext0AltD"/>
              <w:spacing w:line="288" w:lineRule="auto"/>
              <w:jc w:val="both"/>
              <w:rPr>
                <w:lang w:val="da-DK"/>
              </w:rPr>
            </w:pPr>
          </w:p>
          <w:p w14:paraId="758716FE" w14:textId="77777777" w:rsidR="00B8410E" w:rsidRPr="0041776F" w:rsidRDefault="00B8410E" w:rsidP="000079DA">
            <w:pPr>
              <w:pStyle w:val="Bodytext0AltD"/>
              <w:spacing w:line="288" w:lineRule="auto"/>
              <w:jc w:val="both"/>
              <w:rPr>
                <w:lang w:val="da-DK"/>
              </w:rPr>
            </w:pPr>
          </w:p>
          <w:p w14:paraId="5A8A05EF" w14:textId="77777777" w:rsidR="00B8410E" w:rsidRPr="0041776F" w:rsidRDefault="00B8410E" w:rsidP="000079DA">
            <w:pPr>
              <w:pStyle w:val="Bodytext0AltD"/>
              <w:spacing w:line="288" w:lineRule="auto"/>
              <w:jc w:val="both"/>
              <w:rPr>
                <w:lang w:val="da-DK"/>
              </w:rPr>
            </w:pPr>
            <w:r w:rsidRPr="0041776F">
              <w:rPr>
                <w:lang w:val="da-DK"/>
              </w:rPr>
              <w:t>_____________________________</w:t>
            </w:r>
          </w:p>
        </w:tc>
      </w:tr>
      <w:tr w:rsidR="00B8410E" w:rsidRPr="0041776F" w14:paraId="53E2AD59" w14:textId="77777777" w:rsidTr="000079DA">
        <w:tc>
          <w:tcPr>
            <w:tcW w:w="4785" w:type="dxa"/>
            <w:hideMark/>
          </w:tcPr>
          <w:p w14:paraId="6C97B4FF" w14:textId="77777777" w:rsidR="00B8410E" w:rsidRPr="0041776F" w:rsidRDefault="00B8410E" w:rsidP="000079DA">
            <w:r w:rsidRPr="0041776F">
              <w:t>Navn:</w:t>
            </w:r>
          </w:p>
          <w:p w14:paraId="130786C3" w14:textId="77777777" w:rsidR="00B8410E" w:rsidRPr="0041776F" w:rsidRDefault="00B8410E" w:rsidP="000079DA">
            <w:r w:rsidRPr="0041776F">
              <w:t>Titel:</w:t>
            </w:r>
          </w:p>
        </w:tc>
        <w:tc>
          <w:tcPr>
            <w:tcW w:w="4790" w:type="dxa"/>
            <w:hideMark/>
          </w:tcPr>
          <w:p w14:paraId="22C99E84" w14:textId="77777777" w:rsidR="00B8410E" w:rsidRPr="0041776F" w:rsidRDefault="00B8410E" w:rsidP="000079DA">
            <w:r w:rsidRPr="0041776F">
              <w:t>Navn:</w:t>
            </w:r>
          </w:p>
          <w:p w14:paraId="2BD2DFDB" w14:textId="77777777" w:rsidR="00B8410E" w:rsidRPr="0041776F" w:rsidRDefault="00B8410E" w:rsidP="000079DA">
            <w:r w:rsidRPr="0041776F">
              <w:t>Titel:</w:t>
            </w:r>
          </w:p>
        </w:tc>
      </w:tr>
      <w:tr w:rsidR="00B8410E" w:rsidRPr="0041776F" w14:paraId="69BFF0C0" w14:textId="77777777" w:rsidTr="000079DA">
        <w:tc>
          <w:tcPr>
            <w:tcW w:w="4785" w:type="dxa"/>
          </w:tcPr>
          <w:p w14:paraId="3A21128A" w14:textId="77777777" w:rsidR="00B8410E" w:rsidRPr="0041776F" w:rsidRDefault="00B8410E" w:rsidP="000079DA"/>
        </w:tc>
        <w:tc>
          <w:tcPr>
            <w:tcW w:w="4790" w:type="dxa"/>
          </w:tcPr>
          <w:p w14:paraId="21D0FE7E" w14:textId="77777777" w:rsidR="00B8410E" w:rsidRPr="0041776F" w:rsidRDefault="00B8410E" w:rsidP="000079DA"/>
        </w:tc>
      </w:tr>
    </w:tbl>
    <w:p w14:paraId="0383F2CF" w14:textId="77777777" w:rsidR="00B8410E" w:rsidRPr="0041776F" w:rsidRDefault="00B8410E" w:rsidP="00B8410E"/>
    <w:p w14:paraId="7806A8BE" w14:textId="77777777" w:rsidR="00B8410E" w:rsidRPr="0041776F" w:rsidRDefault="00B8410E" w:rsidP="00B8410E"/>
    <w:p w14:paraId="32846E0C" w14:textId="77777777" w:rsidR="00B8410E" w:rsidRPr="0041776F" w:rsidRDefault="00B8410E" w:rsidP="00B8410E"/>
    <w:p w14:paraId="1D7E80ED" w14:textId="77777777" w:rsidR="00B8410E" w:rsidRPr="0041776F" w:rsidRDefault="00B8410E" w:rsidP="00B8410E"/>
    <w:p w14:paraId="1924D147" w14:textId="77777777" w:rsidR="00B8410E" w:rsidRPr="0041776F" w:rsidRDefault="00B8410E" w:rsidP="00B8410E"/>
    <w:p w14:paraId="347D47B7" w14:textId="77777777" w:rsidR="00B8410E" w:rsidRPr="0041776F" w:rsidRDefault="00B8410E" w:rsidP="00B8410E"/>
    <w:p w14:paraId="453516CA" w14:textId="77777777" w:rsidR="00B8410E" w:rsidRPr="0041776F" w:rsidRDefault="00B8410E" w:rsidP="00B8410E"/>
    <w:p w14:paraId="20B81F06" w14:textId="77777777" w:rsidR="00B8410E" w:rsidRPr="0041776F" w:rsidRDefault="00B8410E" w:rsidP="00B8410E"/>
    <w:p w14:paraId="528AE246" w14:textId="77777777" w:rsidR="00B8410E" w:rsidRPr="0041776F" w:rsidRDefault="00B8410E" w:rsidP="00B8410E">
      <w:r w:rsidRPr="0041776F">
        <w:br w:type="page"/>
      </w:r>
    </w:p>
    <w:p w14:paraId="35178101" w14:textId="77777777" w:rsidR="00B8410E" w:rsidRPr="0041776F" w:rsidRDefault="00B8410E" w:rsidP="00B8410E">
      <w:r w:rsidRPr="0041776F">
        <w:lastRenderedPageBreak/>
        <w:t xml:space="preserve">Bilag </w:t>
      </w:r>
      <w:r w:rsidRPr="0041776F">
        <w:fldChar w:fldCharType="begin"/>
      </w:r>
      <w:r w:rsidRPr="0041776F">
        <w:instrText xml:space="preserve"> REF _Ref487707222 \r \h </w:instrText>
      </w:r>
      <w:r w:rsidRPr="0041776F">
        <w:fldChar w:fldCharType="separate"/>
      </w:r>
      <w:r>
        <w:t>2.3</w:t>
      </w:r>
      <w:r w:rsidRPr="0041776F">
        <w:fldChar w:fldCharType="end"/>
      </w:r>
    </w:p>
    <w:p w14:paraId="61BCDA94" w14:textId="77777777" w:rsidR="00B8410E" w:rsidRPr="0041776F" w:rsidRDefault="00B8410E" w:rsidP="00B8410E"/>
    <w:p w14:paraId="251A4A17" w14:textId="77777777" w:rsidR="00B8410E" w:rsidRPr="0041776F" w:rsidRDefault="00B8410E" w:rsidP="00B8410E">
      <w:pPr>
        <w:pStyle w:val="SABrevpunkt"/>
        <w:tabs>
          <w:tab w:val="clear" w:pos="567"/>
        </w:tabs>
        <w:ind w:left="851" w:hanging="851"/>
        <w:rPr>
          <w:b/>
          <w:sz w:val="24"/>
        </w:rPr>
      </w:pPr>
      <w:r w:rsidRPr="0041776F">
        <w:rPr>
          <w:b/>
          <w:sz w:val="24"/>
        </w:rPr>
        <w:t>Instruks til Databehandler</w:t>
      </w:r>
    </w:p>
    <w:p w14:paraId="7C992486" w14:textId="77777777" w:rsidR="00B8410E" w:rsidRPr="0041776F" w:rsidRDefault="00B8410E" w:rsidP="00B8410E">
      <w:pPr>
        <w:pStyle w:val="SABrevpunkt"/>
        <w:tabs>
          <w:tab w:val="clear" w:pos="567"/>
        </w:tabs>
        <w:ind w:left="851" w:hanging="851"/>
        <w:rPr>
          <w:b/>
          <w:sz w:val="24"/>
        </w:rPr>
      </w:pPr>
      <w:r w:rsidRPr="0041776F">
        <w:rPr>
          <w:b/>
          <w:sz w:val="24"/>
        </w:rPr>
        <w:t xml:space="preserve">  </w:t>
      </w:r>
    </w:p>
    <w:p w14:paraId="1A1B3686" w14:textId="77777777" w:rsidR="00B8410E" w:rsidRPr="0041776F" w:rsidRDefault="00B8410E" w:rsidP="00B8410E">
      <w:r w:rsidRPr="0041776F">
        <w:t xml:space="preserve">Dette bilag udgør den Dataansvarliges instruktion til Databehandleren i forbindelse med Databehandlerens Behandling af Persondata for den Dataansvarlige. </w:t>
      </w:r>
    </w:p>
    <w:p w14:paraId="21076050" w14:textId="77777777" w:rsidR="00B8410E" w:rsidRPr="0041776F" w:rsidRDefault="00B8410E" w:rsidP="00B8410E"/>
    <w:p w14:paraId="3306A84B" w14:textId="77777777" w:rsidR="00B8410E" w:rsidRPr="0041776F" w:rsidRDefault="00B8410E" w:rsidP="00B8410E">
      <w:pPr>
        <w:pStyle w:val="SANiveau2"/>
        <w:numPr>
          <w:ilvl w:val="0"/>
          <w:numId w:val="12"/>
        </w:numPr>
      </w:pPr>
      <w:r w:rsidRPr="0041776F">
        <w:t>Behandling af Persondata</w:t>
      </w:r>
    </w:p>
    <w:p w14:paraId="217306CF" w14:textId="77777777" w:rsidR="00B8410E" w:rsidRPr="0041776F" w:rsidRDefault="00B8410E" w:rsidP="00B8410E">
      <w:pPr>
        <w:pStyle w:val="SANiveau2"/>
      </w:pPr>
      <w:r w:rsidRPr="0041776F">
        <w:t xml:space="preserve">Formål med Behandlingen af Persondata er: </w:t>
      </w:r>
    </w:p>
    <w:p w14:paraId="54D90A91" w14:textId="77777777" w:rsidR="00B8410E" w:rsidRPr="0041776F" w:rsidRDefault="00B8410E" w:rsidP="00B8410E">
      <w:pPr>
        <w:pStyle w:val="SANiveau3"/>
      </w:pPr>
      <w:r w:rsidRPr="0041776F">
        <w:t>[</w:t>
      </w:r>
      <w:r w:rsidRPr="0041776F">
        <w:rPr>
          <w:highlight w:val="yellow"/>
        </w:rPr>
        <w:t>Indsæt formål</w:t>
      </w:r>
      <w:r w:rsidRPr="0041776F">
        <w:t xml:space="preserve">]. </w:t>
      </w:r>
    </w:p>
    <w:p w14:paraId="25772E93" w14:textId="77777777" w:rsidR="00B8410E" w:rsidRPr="0041776F" w:rsidRDefault="00B8410E" w:rsidP="00B8410E">
      <w:pPr>
        <w:pStyle w:val="SANiveau3"/>
      </w:pPr>
      <w:r w:rsidRPr="0041776F">
        <w:t>[</w:t>
      </w:r>
      <w:r w:rsidRPr="0041776F">
        <w:rPr>
          <w:highlight w:val="yellow"/>
        </w:rPr>
        <w:t>Indsæt formål</w:t>
      </w:r>
      <w:r w:rsidRPr="0041776F">
        <w:t xml:space="preserve">]. </w:t>
      </w:r>
    </w:p>
    <w:p w14:paraId="68428555" w14:textId="77777777" w:rsidR="00B8410E" w:rsidRPr="0041776F" w:rsidRDefault="00B8410E" w:rsidP="00B8410E">
      <w:pPr>
        <w:pStyle w:val="SANiveau2"/>
      </w:pPr>
      <w:r w:rsidRPr="0041776F">
        <w:t xml:space="preserve">Datasubjekterne er: </w:t>
      </w:r>
    </w:p>
    <w:p w14:paraId="5B01F61A" w14:textId="77777777" w:rsidR="00B8410E" w:rsidRPr="0041776F" w:rsidRDefault="00B8410E" w:rsidP="00B8410E">
      <w:pPr>
        <w:pStyle w:val="SAOpstillingBogstav"/>
      </w:pPr>
      <w:r>
        <w:t>[</w:t>
      </w:r>
      <w:r w:rsidRPr="000301D8">
        <w:rPr>
          <w:highlight w:val="yellow"/>
        </w:rPr>
        <w:t>Individer over 18 år</w:t>
      </w:r>
      <w:r>
        <w:t>]</w:t>
      </w:r>
      <w:r w:rsidRPr="0041776F">
        <w:t xml:space="preserve"> </w:t>
      </w:r>
    </w:p>
    <w:p w14:paraId="754B36AF" w14:textId="77777777" w:rsidR="00B8410E" w:rsidRDefault="00B8410E" w:rsidP="00B8410E">
      <w:pPr>
        <w:pStyle w:val="SAOpstillingBogstav"/>
      </w:pPr>
      <w:r w:rsidRPr="0041776F">
        <w:t>[</w:t>
      </w:r>
      <w:r w:rsidRPr="0041776F">
        <w:rPr>
          <w:highlight w:val="yellow"/>
        </w:rPr>
        <w:t>indsæt andre kategorier</w:t>
      </w:r>
      <w:r w:rsidRPr="0041776F">
        <w:t>]</w:t>
      </w:r>
    </w:p>
    <w:p w14:paraId="617DBF59" w14:textId="77777777" w:rsidR="00B8410E" w:rsidRDefault="00B8410E" w:rsidP="00B8410E">
      <w:pPr>
        <w:pStyle w:val="SAOpstillingBogstav"/>
      </w:pPr>
      <w:r w:rsidRPr="000301D8">
        <w:t>[</w:t>
      </w:r>
      <w:r w:rsidRPr="000301D8">
        <w:rPr>
          <w:highlight w:val="yellow"/>
        </w:rPr>
        <w:t>ansatte</w:t>
      </w:r>
      <w:r>
        <w:t>]</w:t>
      </w:r>
    </w:p>
    <w:p w14:paraId="3022A934" w14:textId="77777777" w:rsidR="00B8410E" w:rsidRPr="0041776F" w:rsidRDefault="00B8410E" w:rsidP="00B8410E">
      <w:pPr>
        <w:pStyle w:val="SAOpstillingBogstav"/>
      </w:pPr>
      <w:r>
        <w:t>[</w:t>
      </w:r>
      <w:r w:rsidRPr="000301D8">
        <w:rPr>
          <w:highlight w:val="yellow"/>
        </w:rPr>
        <w:t>medlemmer</w:t>
      </w:r>
      <w:r>
        <w:t>]</w:t>
      </w:r>
    </w:p>
    <w:p w14:paraId="3CC1EAA3" w14:textId="77777777" w:rsidR="00B8410E" w:rsidRPr="0041776F" w:rsidRDefault="00B8410E" w:rsidP="00B8410E">
      <w:pPr>
        <w:pStyle w:val="SAOpstillingBogstav"/>
        <w:numPr>
          <w:ilvl w:val="0"/>
          <w:numId w:val="0"/>
        </w:numPr>
        <w:ind w:left="1418"/>
      </w:pPr>
    </w:p>
    <w:p w14:paraId="76533246" w14:textId="77777777" w:rsidR="00B8410E" w:rsidRPr="0041776F" w:rsidRDefault="00B8410E" w:rsidP="00B8410E">
      <w:pPr>
        <w:pStyle w:val="SAOpstillingBogstav"/>
        <w:numPr>
          <w:ilvl w:val="0"/>
          <w:numId w:val="0"/>
        </w:numPr>
        <w:ind w:left="1418"/>
      </w:pPr>
    </w:p>
    <w:p w14:paraId="70BC9712" w14:textId="77777777" w:rsidR="00B8410E" w:rsidRPr="0041776F" w:rsidRDefault="00B8410E" w:rsidP="00B8410E">
      <w:pPr>
        <w:pStyle w:val="SANiveau1"/>
      </w:pPr>
      <w:r w:rsidRPr="0041776F">
        <w:t>Kategorier af persondata</w:t>
      </w:r>
    </w:p>
    <w:p w14:paraId="0DFC8042" w14:textId="77777777" w:rsidR="00B8410E" w:rsidRPr="0041776F" w:rsidRDefault="00B8410E" w:rsidP="00B8410E">
      <w:pPr>
        <w:pStyle w:val="SANiveau3"/>
      </w:pPr>
      <w:r w:rsidRPr="0041776F">
        <w:t xml:space="preserve">Individer over 18 år </w:t>
      </w:r>
    </w:p>
    <w:p w14:paraId="2AD11B0D" w14:textId="77777777" w:rsidR="00B8410E" w:rsidRPr="0041776F" w:rsidRDefault="00B8410E" w:rsidP="00B8410E">
      <w:pPr>
        <w:pStyle w:val="SAOpstillingBogstav"/>
        <w:numPr>
          <w:ilvl w:val="0"/>
          <w:numId w:val="11"/>
        </w:numPr>
      </w:pPr>
      <w:r w:rsidRPr="0041776F">
        <w:t xml:space="preserve">Almindelige Persondata: [Fx: </w:t>
      </w:r>
      <w:r w:rsidRPr="0041776F">
        <w:rPr>
          <w:highlight w:val="yellow"/>
        </w:rPr>
        <w:t>Navn, adresse, køn, fødselsdag, e-mail, telefonnummer, mobilnummer, beskæftigelse, uddannelsesniveau</w:t>
      </w:r>
      <w:r w:rsidRPr="0041776F">
        <w:t>].</w:t>
      </w:r>
    </w:p>
    <w:p w14:paraId="3307889B" w14:textId="77777777" w:rsidR="00B8410E" w:rsidRPr="0041776F" w:rsidRDefault="00B8410E" w:rsidP="00B8410E">
      <w:pPr>
        <w:pStyle w:val="SAOpstillingBogstav"/>
        <w:numPr>
          <w:ilvl w:val="0"/>
          <w:numId w:val="11"/>
        </w:numPr>
      </w:pPr>
      <w:r w:rsidRPr="0041776F">
        <w:t xml:space="preserve">Følsomme Persondata: [Fx: </w:t>
      </w:r>
      <w:r w:rsidRPr="0041776F">
        <w:rPr>
          <w:highlight w:val="yellow"/>
        </w:rPr>
        <w:t>Oplysninger om fagforeningsmæssige tilhørsforhold og oplysninger om helbredsmæssige forhold</w:t>
      </w:r>
      <w:r w:rsidRPr="0041776F">
        <w:t>.</w:t>
      </w:r>
    </w:p>
    <w:p w14:paraId="431075B4" w14:textId="77777777" w:rsidR="00B8410E" w:rsidRPr="0041776F" w:rsidRDefault="00B8410E" w:rsidP="00B8410E">
      <w:pPr>
        <w:pStyle w:val="SAOpstillingBogstav"/>
        <w:numPr>
          <w:ilvl w:val="0"/>
          <w:numId w:val="0"/>
        </w:numPr>
      </w:pPr>
    </w:p>
    <w:p w14:paraId="69805A99" w14:textId="77777777" w:rsidR="00B8410E" w:rsidRPr="0041776F" w:rsidRDefault="00B8410E" w:rsidP="00B8410E">
      <w:pPr>
        <w:pStyle w:val="SANiveau3"/>
      </w:pPr>
      <w:r w:rsidRPr="0041776F">
        <w:t>[</w:t>
      </w:r>
      <w:r w:rsidRPr="0041776F">
        <w:rPr>
          <w:highlight w:val="yellow"/>
        </w:rPr>
        <w:t>Næste kategori</w:t>
      </w:r>
      <w:r w:rsidRPr="0041776F">
        <w:t>]</w:t>
      </w:r>
    </w:p>
    <w:p w14:paraId="7C20821C" w14:textId="77777777" w:rsidR="00B8410E" w:rsidRPr="0041776F" w:rsidRDefault="00B8410E" w:rsidP="00B8410E">
      <w:pPr>
        <w:pStyle w:val="SAOpstillingBogstav"/>
        <w:numPr>
          <w:ilvl w:val="0"/>
          <w:numId w:val="10"/>
        </w:numPr>
      </w:pPr>
      <w:r w:rsidRPr="0041776F">
        <w:t xml:space="preserve">Almindelige Persondata: [Fx: </w:t>
      </w:r>
      <w:r w:rsidRPr="0041776F">
        <w:rPr>
          <w:highlight w:val="yellow"/>
        </w:rPr>
        <w:t>Navn, adresse, køn, CPR-nummer, e-mail, telefonnummer, mobilnummer, relation, civilstand, beskæftigelse, uddannelsesniveau, mobilitet og bankoplysninger.</w:t>
      </w:r>
      <w:r w:rsidRPr="0041776F">
        <w:t>]</w:t>
      </w:r>
    </w:p>
    <w:p w14:paraId="062C66E9" w14:textId="77777777" w:rsidR="00B8410E" w:rsidRPr="0041776F" w:rsidRDefault="00B8410E" w:rsidP="00B8410E">
      <w:pPr>
        <w:pStyle w:val="SAOpstillingBogstav"/>
        <w:numPr>
          <w:ilvl w:val="0"/>
          <w:numId w:val="10"/>
        </w:numPr>
      </w:pPr>
      <w:r w:rsidRPr="0041776F">
        <w:t xml:space="preserve">Følsomme Persondata: [Fx: </w:t>
      </w:r>
      <w:r w:rsidRPr="0041776F">
        <w:rPr>
          <w:highlight w:val="yellow"/>
        </w:rPr>
        <w:t>Helbredsoplysninger, fagforeningsoplysninger, personlighedstests, andre personlige forhold af relevans.</w:t>
      </w:r>
      <w:r w:rsidRPr="0041776F">
        <w:t>]</w:t>
      </w:r>
    </w:p>
    <w:p w14:paraId="70749A23" w14:textId="77777777" w:rsidR="00B8410E" w:rsidRPr="0041776F" w:rsidRDefault="00B8410E" w:rsidP="00B8410E">
      <w:pPr>
        <w:pStyle w:val="SAOpstillingBogstav"/>
        <w:numPr>
          <w:ilvl w:val="0"/>
          <w:numId w:val="0"/>
        </w:numPr>
        <w:ind w:left="1418"/>
      </w:pPr>
    </w:p>
    <w:p w14:paraId="444A11F9" w14:textId="77777777" w:rsidR="00B8410E" w:rsidRDefault="00B8410E" w:rsidP="00B8410E">
      <w:pPr>
        <w:pStyle w:val="SANiveau1"/>
        <w:numPr>
          <w:ilvl w:val="0"/>
          <w:numId w:val="0"/>
        </w:numPr>
        <w:ind w:left="851"/>
      </w:pPr>
    </w:p>
    <w:p w14:paraId="68A04E9A" w14:textId="77777777" w:rsidR="00B8410E" w:rsidRPr="0041776F" w:rsidRDefault="00B8410E" w:rsidP="00B8410E">
      <w:pPr>
        <w:pStyle w:val="SANiveau1"/>
      </w:pPr>
      <w:r w:rsidRPr="0041776F">
        <w:t>Behandlingssikkerhed</w:t>
      </w:r>
    </w:p>
    <w:p w14:paraId="68F45F48" w14:textId="77777777" w:rsidR="00B8410E" w:rsidRPr="0041776F" w:rsidRDefault="00B8410E" w:rsidP="00B8410E">
      <w:pPr>
        <w:pStyle w:val="SANiveau2"/>
      </w:pPr>
      <w:r w:rsidRPr="0041776F">
        <w:t>Sikkerhedsniveauet hos Databehandleren skal afspejle, at [</w:t>
      </w:r>
      <w:r w:rsidRPr="0041776F">
        <w:rPr>
          <w:highlight w:val="yellow"/>
        </w:rPr>
        <w:t>der er tale om behandling af en stor mængde følsomt Persondata, hvorfor der skal etableres et højt sikkerhedsniveau</w:t>
      </w:r>
      <w:r w:rsidRPr="0041776F">
        <w:t>].</w:t>
      </w:r>
    </w:p>
    <w:p w14:paraId="01F8383C" w14:textId="77777777" w:rsidR="00B8410E" w:rsidRPr="0041776F" w:rsidRDefault="00B8410E" w:rsidP="00B8410E">
      <w:pPr>
        <w:pStyle w:val="SANiveau2"/>
      </w:pPr>
      <w:r w:rsidRPr="0041776F">
        <w:t xml:space="preserve">Databehandleren er berettiget og forpligtet til at træffe beslutninger om hvilke tekniske og organisatoriske sikkerhedsforanstaltninger, der skal anvendes for at skabe det nødvendige sikkerhedsniveau omkring denne Persondata.    </w:t>
      </w:r>
    </w:p>
    <w:p w14:paraId="2A91F891" w14:textId="77777777" w:rsidR="00B8410E" w:rsidRPr="0041776F" w:rsidRDefault="00B8410E" w:rsidP="00B8410E">
      <w:pPr>
        <w:pStyle w:val="SANiveau2"/>
      </w:pPr>
      <w:r w:rsidRPr="0041776F">
        <w:t xml:space="preserve">Databehandleren skal dog i alle tilfælde og som minimum gennemføre følgende foranstaltninger, som er aftalt med den Dataansvarlige på baggrund af den risikovurdering den Dataansvarlige har foretaget:  </w:t>
      </w:r>
    </w:p>
    <w:p w14:paraId="3CF990F2" w14:textId="77777777" w:rsidR="00B8410E" w:rsidRPr="0041776F" w:rsidRDefault="00B8410E" w:rsidP="00B8410E">
      <w:pPr>
        <w:pStyle w:val="OpstilmstregAlts"/>
        <w:ind w:left="1418" w:hanging="567"/>
      </w:pPr>
      <w:r w:rsidRPr="0041776F">
        <w:lastRenderedPageBreak/>
        <w:t>[</w:t>
      </w:r>
      <w:r w:rsidRPr="0041776F">
        <w:rPr>
          <w:highlight w:val="yellow"/>
        </w:rPr>
        <w:t xml:space="preserve">Beskriv eventuelle krav vedrørende </w:t>
      </w:r>
      <w:proofErr w:type="spellStart"/>
      <w:r w:rsidRPr="0041776F">
        <w:rPr>
          <w:highlight w:val="yellow"/>
        </w:rPr>
        <w:t>pseudonymisering</w:t>
      </w:r>
      <w:proofErr w:type="spellEnd"/>
      <w:r w:rsidRPr="0041776F">
        <w:rPr>
          <w:highlight w:val="yellow"/>
        </w:rPr>
        <w:t xml:space="preserve"> og kryptering af personoplysninger</w:t>
      </w:r>
      <w:r w:rsidRPr="0041776F">
        <w:t>]</w:t>
      </w:r>
    </w:p>
    <w:p w14:paraId="4D3A5C38" w14:textId="77777777" w:rsidR="00B8410E" w:rsidRPr="0041776F" w:rsidRDefault="00B8410E" w:rsidP="00B8410E">
      <w:pPr>
        <w:pStyle w:val="OpstilmstregAlts"/>
        <w:numPr>
          <w:ilvl w:val="0"/>
          <w:numId w:val="0"/>
        </w:numPr>
        <w:ind w:left="1418"/>
      </w:pPr>
    </w:p>
    <w:p w14:paraId="52F0B50C" w14:textId="77777777" w:rsidR="00B8410E" w:rsidRPr="0041776F" w:rsidRDefault="00B8410E" w:rsidP="00B8410E">
      <w:pPr>
        <w:pStyle w:val="OpstilmstregAlts"/>
        <w:ind w:left="1418" w:hanging="567"/>
      </w:pPr>
      <w:r w:rsidRPr="0041776F">
        <w:t>[</w:t>
      </w:r>
      <w:r w:rsidRPr="0041776F">
        <w:rPr>
          <w:highlight w:val="yellow"/>
        </w:rPr>
        <w:t>Beskriv eventuelle krav til evnen til at sikre vedvarende fortrolighed, integritet, tilgængelighed og robusthed af behandlingssystemer og –tjenester</w:t>
      </w:r>
      <w:r w:rsidRPr="0041776F">
        <w:t>]</w:t>
      </w:r>
    </w:p>
    <w:p w14:paraId="775E6BFE" w14:textId="77777777" w:rsidR="00B8410E" w:rsidRPr="0041776F" w:rsidRDefault="00B8410E" w:rsidP="00B8410E">
      <w:pPr>
        <w:pStyle w:val="Listeafsnit"/>
      </w:pPr>
    </w:p>
    <w:p w14:paraId="7C61D8EB" w14:textId="77777777" w:rsidR="00B8410E" w:rsidRPr="0041776F" w:rsidRDefault="00B8410E" w:rsidP="00B8410E">
      <w:pPr>
        <w:pStyle w:val="OpstilmstregAlts"/>
        <w:ind w:left="1418" w:hanging="567"/>
      </w:pPr>
      <w:r w:rsidRPr="0041776F">
        <w:t>[</w:t>
      </w:r>
      <w:r w:rsidRPr="0041776F">
        <w:rPr>
          <w:highlight w:val="yellow"/>
        </w:rPr>
        <w:t>Beskriv eventuelle krav til evnen til rettidigt at genoprette tilgængeligheden af og adgangen til personoplysninger i tilfælde af en fysisk eller teknisk hændelse</w:t>
      </w:r>
      <w:r w:rsidRPr="0041776F">
        <w:t>]</w:t>
      </w:r>
    </w:p>
    <w:p w14:paraId="50CBB412" w14:textId="77777777" w:rsidR="00B8410E" w:rsidRPr="0041776F" w:rsidRDefault="00B8410E" w:rsidP="00B8410E">
      <w:pPr>
        <w:pStyle w:val="Listeafsnit"/>
      </w:pPr>
    </w:p>
    <w:p w14:paraId="31C7E464" w14:textId="77777777" w:rsidR="00B8410E" w:rsidRPr="0041776F" w:rsidRDefault="00B8410E" w:rsidP="00B8410E">
      <w:pPr>
        <w:pStyle w:val="OpstilmstregAlts"/>
        <w:ind w:left="1418" w:hanging="567"/>
      </w:pPr>
      <w:r w:rsidRPr="0041776F">
        <w:t>[</w:t>
      </w:r>
      <w:r w:rsidRPr="0041776F">
        <w:rPr>
          <w:highlight w:val="yellow"/>
        </w:rPr>
        <w:t>Beskriv eventuelle krav til procedurer for regelmæssig afprøvning, vurdering og evaluering af effektiviteten af de tekniske og organisatoriske foranstaltninger til sikring af behandlingssikkerhed</w:t>
      </w:r>
      <w:r w:rsidRPr="0041776F">
        <w:t>]</w:t>
      </w:r>
    </w:p>
    <w:p w14:paraId="5C919F9A" w14:textId="77777777" w:rsidR="00B8410E" w:rsidRPr="0041776F" w:rsidRDefault="00B8410E" w:rsidP="00B8410E">
      <w:pPr>
        <w:pStyle w:val="Listeafsnit"/>
      </w:pPr>
    </w:p>
    <w:p w14:paraId="59A4B787" w14:textId="77777777" w:rsidR="00B8410E" w:rsidRPr="0041776F" w:rsidRDefault="00B8410E" w:rsidP="00B8410E">
      <w:pPr>
        <w:pStyle w:val="OpstilmstregAlts"/>
        <w:ind w:left="1418" w:hanging="567"/>
      </w:pPr>
      <w:r w:rsidRPr="0041776F">
        <w:t>[</w:t>
      </w:r>
      <w:r w:rsidRPr="0041776F">
        <w:rPr>
          <w:highlight w:val="yellow"/>
        </w:rPr>
        <w:t>Beskriv eventuelle krav til adgang til data via internettet</w:t>
      </w:r>
      <w:r w:rsidRPr="0041776F">
        <w:t>]</w:t>
      </w:r>
    </w:p>
    <w:p w14:paraId="1F21950E" w14:textId="77777777" w:rsidR="00B8410E" w:rsidRPr="0041776F" w:rsidRDefault="00B8410E" w:rsidP="00B8410E">
      <w:pPr>
        <w:pStyle w:val="Listeafsnit"/>
      </w:pPr>
    </w:p>
    <w:p w14:paraId="665FF9D9" w14:textId="77777777" w:rsidR="00B8410E" w:rsidRPr="0041776F" w:rsidRDefault="00B8410E" w:rsidP="00B8410E">
      <w:pPr>
        <w:pStyle w:val="OpstilmstregAlts"/>
        <w:ind w:left="1418" w:hanging="567"/>
      </w:pPr>
      <w:r w:rsidRPr="0041776F">
        <w:t>[</w:t>
      </w:r>
      <w:r w:rsidRPr="0041776F">
        <w:rPr>
          <w:highlight w:val="yellow"/>
        </w:rPr>
        <w:t>Beskriv eventuelle krav vedrørende beskyttelse af data, hvor denne opbevares</w:t>
      </w:r>
      <w:r w:rsidRPr="0041776F">
        <w:t>]</w:t>
      </w:r>
    </w:p>
    <w:p w14:paraId="0B00E9C7" w14:textId="77777777" w:rsidR="00B8410E" w:rsidRPr="0041776F" w:rsidRDefault="00B8410E" w:rsidP="00B8410E">
      <w:pPr>
        <w:pStyle w:val="Listeafsnit"/>
      </w:pPr>
    </w:p>
    <w:p w14:paraId="3D153901" w14:textId="77777777" w:rsidR="00B8410E" w:rsidRPr="0041776F" w:rsidRDefault="00B8410E" w:rsidP="00B8410E">
      <w:pPr>
        <w:pStyle w:val="OpstilmstregAlts"/>
        <w:ind w:left="1418" w:hanging="567"/>
      </w:pPr>
      <w:r w:rsidRPr="0041776F">
        <w:t>[</w:t>
      </w:r>
      <w:r w:rsidRPr="0041776F">
        <w:rPr>
          <w:highlight w:val="yellow"/>
        </w:rPr>
        <w:t>Beskriv eventuelle krav vedrørende fysisk sikring af lokaliteter, hvor der behandles personoplysninger</w:t>
      </w:r>
      <w:r w:rsidRPr="0041776F">
        <w:t>]</w:t>
      </w:r>
    </w:p>
    <w:p w14:paraId="7238C0AA" w14:textId="77777777" w:rsidR="00B8410E" w:rsidRPr="0041776F" w:rsidRDefault="00B8410E" w:rsidP="00B8410E">
      <w:pPr>
        <w:pStyle w:val="Listeafsnit"/>
      </w:pPr>
    </w:p>
    <w:p w14:paraId="064429C8" w14:textId="77777777" w:rsidR="00B8410E" w:rsidRPr="0041776F" w:rsidRDefault="00B8410E" w:rsidP="00B8410E">
      <w:pPr>
        <w:pStyle w:val="OpstilmstregAlts"/>
        <w:ind w:left="1418" w:hanging="567"/>
      </w:pPr>
      <w:r w:rsidRPr="0041776F">
        <w:t>[</w:t>
      </w:r>
      <w:r w:rsidRPr="0041776F">
        <w:rPr>
          <w:highlight w:val="yellow"/>
        </w:rPr>
        <w:t>Beskriv eventuelle krav vedrørende logning</w:t>
      </w:r>
      <w:r w:rsidRPr="0041776F">
        <w:t>]</w:t>
      </w:r>
    </w:p>
    <w:p w14:paraId="0003800D" w14:textId="77777777" w:rsidR="00B8410E" w:rsidRPr="0041776F" w:rsidRDefault="00B8410E" w:rsidP="00B8410E"/>
    <w:p w14:paraId="21543483" w14:textId="77777777" w:rsidR="00B8410E" w:rsidRPr="0041776F" w:rsidRDefault="00B8410E" w:rsidP="00B8410E"/>
    <w:p w14:paraId="366F4B80" w14:textId="77777777" w:rsidR="00B8410E" w:rsidRPr="0041776F" w:rsidRDefault="00B8410E" w:rsidP="00B8410E">
      <w:pPr>
        <w:pStyle w:val="SANiveau1"/>
      </w:pPr>
      <w:r w:rsidRPr="002F1B25">
        <w:t>Opbevaringsperiode</w:t>
      </w:r>
      <w:r>
        <w:t xml:space="preserve"> og </w:t>
      </w:r>
      <w:r w:rsidRPr="002F1B25">
        <w:t>slet</w:t>
      </w:r>
      <w:r>
        <w:t>ning</w:t>
      </w:r>
    </w:p>
    <w:p w14:paraId="66B040DB" w14:textId="77777777" w:rsidR="00B8410E" w:rsidRPr="0041776F" w:rsidRDefault="00B8410E" w:rsidP="00B8410E">
      <w:pPr>
        <w:pStyle w:val="SANiveau2"/>
      </w:pPr>
      <w:r w:rsidRPr="0041776F">
        <w:t>Det følger af Gældende Ret, at Persondata ikke må opbevares længere, end hvad der er nødvendigt for, at formålet med Behandlingen kan opfyldes. Derfor er Parterne enige om følgende:</w:t>
      </w:r>
    </w:p>
    <w:p w14:paraId="12B50181" w14:textId="77777777" w:rsidR="00B8410E" w:rsidRPr="0041776F" w:rsidRDefault="00B8410E" w:rsidP="00B8410E">
      <w:pPr>
        <w:pStyle w:val="SANiveau2"/>
      </w:pPr>
      <w:r w:rsidRPr="0041776F">
        <w:t xml:space="preserve">Databehandleren skal slette al Persondata, så snart en af følgende begivenheder indtræder: </w:t>
      </w:r>
    </w:p>
    <w:p w14:paraId="45077393" w14:textId="77777777" w:rsidR="00B8410E" w:rsidRPr="0041776F" w:rsidRDefault="00B8410E" w:rsidP="00B8410E">
      <w:pPr>
        <w:pStyle w:val="OpstilmstregAlts"/>
        <w:ind w:left="1418" w:hanging="567"/>
      </w:pPr>
      <w:r w:rsidRPr="0041776F">
        <w:t xml:space="preserve">under hensyntagen til Databehandleraftalens punkt </w:t>
      </w:r>
      <w:r w:rsidRPr="0041776F">
        <w:fldChar w:fldCharType="begin"/>
      </w:r>
      <w:r w:rsidRPr="0041776F">
        <w:instrText xml:space="preserve"> REF _Ref508969332 \r \h </w:instrText>
      </w:r>
      <w:r>
        <w:instrText xml:space="preserve"> \* MERGEFORMAT </w:instrText>
      </w:r>
      <w:r w:rsidRPr="0041776F">
        <w:fldChar w:fldCharType="separate"/>
      </w:r>
      <w:r>
        <w:t>3.6</w:t>
      </w:r>
      <w:r w:rsidRPr="0041776F">
        <w:fldChar w:fldCharType="end"/>
      </w:r>
      <w:r w:rsidRPr="0041776F">
        <w:t xml:space="preserve">, når Datasubjektet har anmodet om, at Persondata slettes, eller </w:t>
      </w:r>
    </w:p>
    <w:p w14:paraId="49E9B3B5" w14:textId="77777777" w:rsidR="00B8410E" w:rsidRDefault="00B8410E" w:rsidP="00B8410E">
      <w:pPr>
        <w:pStyle w:val="OpstilmstregAlts"/>
        <w:ind w:left="1418" w:hanging="567"/>
      </w:pPr>
      <w:r w:rsidRPr="0041776F">
        <w:t>hvis denne Databehandleraftale ophører, uanset årsagen hertil</w:t>
      </w:r>
      <w:r>
        <w:t>, og sletningen ikke strider mod Gældende Ret</w:t>
      </w:r>
      <w:r w:rsidRPr="0041776F">
        <w:t>.</w:t>
      </w:r>
    </w:p>
    <w:p w14:paraId="259FF069" w14:textId="77777777" w:rsidR="00B8410E" w:rsidRDefault="00B8410E" w:rsidP="00B8410E"/>
    <w:p w14:paraId="03D6B4D4" w14:textId="77777777" w:rsidR="00B8410E" w:rsidRPr="0041776F" w:rsidRDefault="00B8410E" w:rsidP="00B8410E">
      <w:pPr>
        <w:rPr>
          <w:highlight w:val="yellow"/>
        </w:rPr>
      </w:pPr>
      <w:r>
        <w:rPr>
          <w:highlight w:val="yellow"/>
        </w:rPr>
        <w:t>[</w:t>
      </w:r>
      <w:r w:rsidRPr="002F1B25">
        <w:rPr>
          <w:b/>
          <w:highlight w:val="yellow"/>
        </w:rPr>
        <w:t>SLET:</w:t>
      </w:r>
      <w:r>
        <w:rPr>
          <w:highlight w:val="yellow"/>
        </w:rPr>
        <w:t xml:space="preserve"> </w:t>
      </w:r>
      <w:r w:rsidRPr="0041776F">
        <w:rPr>
          <w:highlight w:val="yellow"/>
        </w:rPr>
        <w:t>Eventuel opbevaringsperiode/sletterutine for databehandleren</w:t>
      </w:r>
      <w:r>
        <w:rPr>
          <w:highlight w:val="yellow"/>
        </w:rPr>
        <w:t>]</w:t>
      </w:r>
    </w:p>
    <w:p w14:paraId="5EE3E3D5" w14:textId="77777777" w:rsidR="00B8410E" w:rsidRPr="00F932E3" w:rsidRDefault="00B8410E" w:rsidP="00B8410E">
      <w:pPr>
        <w:pStyle w:val="SANiveau2"/>
      </w:pPr>
      <w:bookmarkStart w:id="25" w:name="ÅÅSidsteBilag"/>
      <w:bookmarkEnd w:id="25"/>
      <w:r w:rsidRPr="00F932E3">
        <w:t>Derudover gælder, at Persondata skal opbevares i [angiv tidsperiode eller hændelse], hvorefter denne slettes hos Databehandleren.”</w:t>
      </w:r>
    </w:p>
    <w:p w14:paraId="67A852C5" w14:textId="77777777" w:rsidR="00B8410E" w:rsidRPr="002F1B25" w:rsidRDefault="00B8410E" w:rsidP="00B8410E">
      <w:pPr>
        <w:rPr>
          <w:i/>
          <w:highlight w:val="yellow"/>
        </w:rPr>
      </w:pPr>
      <w:r w:rsidRPr="002F1B25">
        <w:rPr>
          <w:b/>
          <w:highlight w:val="yellow"/>
        </w:rPr>
        <w:t>SLET:</w:t>
      </w:r>
      <w:r>
        <w:rPr>
          <w:i/>
          <w:highlight w:val="yellow"/>
        </w:rPr>
        <w:t xml:space="preserve"> </w:t>
      </w:r>
      <w:r w:rsidRPr="002F1B25">
        <w:rPr>
          <w:i/>
          <w:highlight w:val="yellow"/>
        </w:rPr>
        <w:t>Eller</w:t>
      </w:r>
    </w:p>
    <w:p w14:paraId="3F7C3B17" w14:textId="77777777" w:rsidR="00B8410E" w:rsidRPr="00F932E3" w:rsidRDefault="00B8410E" w:rsidP="00B8410E">
      <w:pPr>
        <w:pStyle w:val="SANiveau2"/>
      </w:pPr>
      <w:r w:rsidRPr="00F932E3">
        <w:t xml:space="preserve">”Persondata opbevares hos Databehandleren, indtil den Dataansvarlige anmoder om at få denne slettet eller tilbageleveret”.] </w:t>
      </w:r>
    </w:p>
    <w:p w14:paraId="1BF3ADEF" w14:textId="77777777" w:rsidR="00B8410E" w:rsidRPr="0041776F" w:rsidRDefault="00B8410E" w:rsidP="00B8410E"/>
    <w:p w14:paraId="6E6475B9" w14:textId="77777777" w:rsidR="00B8410E" w:rsidRPr="0041776F" w:rsidRDefault="00B8410E" w:rsidP="00B8410E"/>
    <w:p w14:paraId="1F053A7D" w14:textId="77777777" w:rsidR="00B8410E" w:rsidRPr="0041776F" w:rsidRDefault="00B8410E" w:rsidP="00B8410E"/>
    <w:p w14:paraId="26A17FB0" w14:textId="77777777" w:rsidR="00B8410E" w:rsidRPr="0041776F" w:rsidRDefault="00B8410E" w:rsidP="00B8410E">
      <w:pPr>
        <w:pStyle w:val="SANiveau1"/>
      </w:pPr>
      <w:r w:rsidRPr="00557AEA">
        <w:t>overførsel af personoplysninger til tredjelande</w:t>
      </w:r>
      <w:r w:rsidRPr="0041776F">
        <w:t xml:space="preserve"> </w:t>
      </w:r>
    </w:p>
    <w:p w14:paraId="1CAC5835" w14:textId="77777777" w:rsidR="00B8410E" w:rsidRDefault="00B8410E" w:rsidP="00B8410E">
      <w:pPr>
        <w:pStyle w:val="SANiveau2"/>
      </w:pPr>
      <w:r>
        <w:t>[Der overføres ikke Persondata til tredjelande.</w:t>
      </w:r>
    </w:p>
    <w:p w14:paraId="1AC0B7DB" w14:textId="77777777" w:rsidR="00B8410E" w:rsidRDefault="00B8410E" w:rsidP="00B8410E">
      <w:pPr>
        <w:pStyle w:val="SANiveau2"/>
        <w:numPr>
          <w:ilvl w:val="0"/>
          <w:numId w:val="0"/>
        </w:numPr>
        <w:ind w:left="851"/>
      </w:pPr>
      <w:r>
        <w:t>[</w:t>
      </w:r>
      <w:r w:rsidRPr="00C732C9">
        <w:rPr>
          <w:i/>
          <w:highlight w:val="yellow"/>
        </w:rPr>
        <w:t>Eller</w:t>
      </w:r>
      <w:r>
        <w:t>]</w:t>
      </w:r>
    </w:p>
    <w:p w14:paraId="6E5A14C9" w14:textId="77777777" w:rsidR="00B8410E" w:rsidRPr="0041776F" w:rsidRDefault="00B8410E" w:rsidP="00B8410E">
      <w:pPr>
        <w:pStyle w:val="SANiveau2"/>
      </w:pPr>
      <w:r>
        <w:lastRenderedPageBreak/>
        <w:t xml:space="preserve">Der overføres Persondata til Tredjelande. De benyttede Underdatabehandlere er anført i bilag </w:t>
      </w:r>
      <w:r>
        <w:fldChar w:fldCharType="begin"/>
      </w:r>
      <w:r>
        <w:instrText xml:space="preserve"> REF _Ref508266120 \r \h </w:instrText>
      </w:r>
      <w:r>
        <w:fldChar w:fldCharType="separate"/>
      </w:r>
      <w:r>
        <w:t>6.1</w:t>
      </w:r>
      <w:r>
        <w:fldChar w:fldCharType="end"/>
      </w:r>
      <w:r>
        <w:t xml:space="preserve">, og følger retningslinjerne angivet i Persondataaftalens afsnit </w:t>
      </w:r>
      <w:r>
        <w:fldChar w:fldCharType="begin"/>
      </w:r>
      <w:r>
        <w:instrText xml:space="preserve"> REF _Ref513461854 \r \h </w:instrText>
      </w:r>
      <w:r>
        <w:fldChar w:fldCharType="separate"/>
      </w:r>
      <w:r>
        <w:t>5</w:t>
      </w:r>
      <w:r>
        <w:fldChar w:fldCharType="end"/>
      </w:r>
      <w:r>
        <w:t>.]</w:t>
      </w:r>
    </w:p>
    <w:p w14:paraId="10DC671F" w14:textId="77777777" w:rsidR="00B8410E" w:rsidRDefault="00B8410E" w:rsidP="00B8410E">
      <w:pPr>
        <w:ind w:left="851"/>
      </w:pPr>
      <w:r w:rsidRPr="0041776F">
        <w:t xml:space="preserve"> </w:t>
      </w:r>
    </w:p>
    <w:p w14:paraId="726CCCBA" w14:textId="77777777" w:rsidR="00B8410E" w:rsidRDefault="00B8410E" w:rsidP="00B8410E">
      <w:r>
        <w:br w:type="page"/>
      </w:r>
    </w:p>
    <w:p w14:paraId="52F6EBD0" w14:textId="77777777" w:rsidR="00B8410E" w:rsidRPr="0041776F" w:rsidRDefault="00B8410E" w:rsidP="00B8410E">
      <w:r w:rsidRPr="0041776F">
        <w:lastRenderedPageBreak/>
        <w:t xml:space="preserve">Bilag </w:t>
      </w:r>
      <w:r w:rsidRPr="0041776F">
        <w:fldChar w:fldCharType="begin"/>
      </w:r>
      <w:r w:rsidRPr="0041776F">
        <w:instrText xml:space="preserve"> REF _Ref508266120 \r \h </w:instrText>
      </w:r>
      <w:r w:rsidRPr="0041776F">
        <w:fldChar w:fldCharType="separate"/>
      </w:r>
      <w:r>
        <w:t>6.1</w:t>
      </w:r>
      <w:r w:rsidRPr="0041776F">
        <w:fldChar w:fldCharType="end"/>
      </w:r>
    </w:p>
    <w:p w14:paraId="65C1684C" w14:textId="77777777" w:rsidR="00B8410E" w:rsidRPr="0041776F" w:rsidRDefault="00B8410E" w:rsidP="00B8410E">
      <w:pPr>
        <w:rPr>
          <w:b/>
        </w:rPr>
      </w:pPr>
      <w:r w:rsidRPr="0041776F">
        <w:rPr>
          <w:b/>
        </w:rPr>
        <w:t>Underdatabehandlere</w:t>
      </w:r>
    </w:p>
    <w:p w14:paraId="47CB0E5D" w14:textId="77777777" w:rsidR="00B8410E" w:rsidRPr="0041776F" w:rsidRDefault="00B8410E" w:rsidP="00B8410E"/>
    <w:p w14:paraId="53F2EF0F" w14:textId="77777777" w:rsidR="00B8410E" w:rsidRPr="0041776F" w:rsidRDefault="00B8410E" w:rsidP="00B8410E">
      <w:r w:rsidRPr="0041776F">
        <w:t xml:space="preserve">Databehandleren må alene gøre brug af Underdatabehandlere efter forudgående </w:t>
      </w:r>
      <w:r w:rsidRPr="008D5E6E">
        <w:t>specifik</w:t>
      </w:r>
      <w:r w:rsidRPr="0041776F">
        <w:t xml:space="preserve"> skriftlig godkendelse fra den Dataansvarlige. </w:t>
      </w:r>
    </w:p>
    <w:p w14:paraId="29C9F428" w14:textId="77777777" w:rsidR="00B8410E" w:rsidRPr="0041776F" w:rsidRDefault="00B8410E" w:rsidP="00B8410E"/>
    <w:p w14:paraId="43A876FA" w14:textId="77777777" w:rsidR="00B8410E" w:rsidRPr="0041776F" w:rsidRDefault="00B8410E" w:rsidP="00B8410E">
      <w:r w:rsidRPr="0041776F">
        <w:t xml:space="preserve">Databehandlerens anmodning herom skal være den Dataansvarlige i hænde minimum en (1) måned før anvendelsen eller ændringen skal træde i kraft. Den Dataansvarlige skal herefter tage stilling til anmodningen inden for syv (7) dage. Den Dataansvarlige kan alene nægte godkendelse, såfremt den Dataansvarlige har rimelige og konkrete årsager hertil. </w:t>
      </w:r>
    </w:p>
    <w:p w14:paraId="30E9237F" w14:textId="77777777" w:rsidR="00B8410E" w:rsidRPr="0041776F" w:rsidRDefault="00B8410E" w:rsidP="00B8410E"/>
    <w:p w14:paraId="7B038E55" w14:textId="77777777" w:rsidR="00B8410E" w:rsidRPr="0041776F" w:rsidRDefault="00B8410E" w:rsidP="00B8410E">
      <w:r w:rsidRPr="0041776F">
        <w:t>Godkendte Underdatabehandlere:</w:t>
      </w:r>
    </w:p>
    <w:p w14:paraId="527852DB" w14:textId="77777777" w:rsidR="00B8410E" w:rsidRPr="0041776F" w:rsidRDefault="00B8410E" w:rsidP="00B8410E">
      <w:pPr>
        <w:rPr>
          <w:highlight w:val="yellow"/>
        </w:rPr>
      </w:pPr>
    </w:p>
    <w:tbl>
      <w:tblPr>
        <w:tblStyle w:val="Tabel-Gitter"/>
        <w:tblW w:w="0" w:type="auto"/>
        <w:tblLook w:val="04A0" w:firstRow="1" w:lastRow="0" w:firstColumn="1" w:lastColumn="0" w:noHBand="0" w:noVBand="1"/>
      </w:tblPr>
      <w:tblGrid>
        <w:gridCol w:w="1929"/>
        <w:gridCol w:w="1264"/>
        <w:gridCol w:w="1903"/>
        <w:gridCol w:w="3920"/>
      </w:tblGrid>
      <w:tr w:rsidR="00B8410E" w:rsidRPr="0041776F" w14:paraId="64645682" w14:textId="77777777" w:rsidTr="000079DA">
        <w:tc>
          <w:tcPr>
            <w:tcW w:w="1980" w:type="dxa"/>
          </w:tcPr>
          <w:p w14:paraId="6D0F7EB0" w14:textId="77777777" w:rsidR="00B8410E" w:rsidRPr="008D5E6E" w:rsidRDefault="00B8410E" w:rsidP="000079DA">
            <w:pPr>
              <w:rPr>
                <w:b/>
              </w:rPr>
            </w:pPr>
            <w:r w:rsidRPr="008D5E6E">
              <w:rPr>
                <w:b/>
              </w:rPr>
              <w:t xml:space="preserve">Navn og adresse  </w:t>
            </w:r>
          </w:p>
        </w:tc>
        <w:tc>
          <w:tcPr>
            <w:tcW w:w="1276" w:type="dxa"/>
          </w:tcPr>
          <w:p w14:paraId="067C0BB2" w14:textId="77777777" w:rsidR="00B8410E" w:rsidRPr="008D5E6E" w:rsidRDefault="00B8410E" w:rsidP="000079DA">
            <w:pPr>
              <w:rPr>
                <w:b/>
              </w:rPr>
            </w:pPr>
            <w:r w:rsidRPr="008D5E6E">
              <w:rPr>
                <w:b/>
              </w:rPr>
              <w:t>CVR-nr.</w:t>
            </w:r>
          </w:p>
        </w:tc>
        <w:tc>
          <w:tcPr>
            <w:tcW w:w="1984" w:type="dxa"/>
          </w:tcPr>
          <w:p w14:paraId="5FD9528D" w14:textId="77777777" w:rsidR="00B8410E" w:rsidRPr="008D5E6E" w:rsidRDefault="00B8410E" w:rsidP="000079DA">
            <w:pPr>
              <w:rPr>
                <w:b/>
              </w:rPr>
            </w:pPr>
            <w:r w:rsidRPr="008D5E6E">
              <w:rPr>
                <w:b/>
              </w:rPr>
              <w:t>Land</w:t>
            </w:r>
          </w:p>
        </w:tc>
        <w:tc>
          <w:tcPr>
            <w:tcW w:w="4104" w:type="dxa"/>
          </w:tcPr>
          <w:p w14:paraId="2F40CF7A" w14:textId="77777777" w:rsidR="00B8410E" w:rsidRPr="008D5E6E" w:rsidRDefault="00B8410E" w:rsidP="000079DA">
            <w:pPr>
              <w:rPr>
                <w:b/>
              </w:rPr>
            </w:pPr>
            <w:r>
              <w:rPr>
                <w:b/>
              </w:rPr>
              <w:t>Databehandleren bistår med følgende:</w:t>
            </w:r>
          </w:p>
        </w:tc>
      </w:tr>
      <w:tr w:rsidR="00B8410E" w:rsidRPr="0041776F" w14:paraId="7204B2AF" w14:textId="77777777" w:rsidTr="000079DA">
        <w:tc>
          <w:tcPr>
            <w:tcW w:w="1980" w:type="dxa"/>
          </w:tcPr>
          <w:p w14:paraId="7857953C" w14:textId="77777777" w:rsidR="00B8410E" w:rsidRDefault="00B8410E" w:rsidP="000079DA">
            <w:pPr>
              <w:rPr>
                <w:highlight w:val="yellow"/>
              </w:rPr>
            </w:pPr>
            <w:r>
              <w:rPr>
                <w:highlight w:val="yellow"/>
              </w:rPr>
              <w:t>Eksempel:</w:t>
            </w:r>
          </w:p>
          <w:p w14:paraId="53052119" w14:textId="77777777" w:rsidR="00B8410E" w:rsidRDefault="00B8410E" w:rsidP="000079DA">
            <w:pPr>
              <w:rPr>
                <w:highlight w:val="yellow"/>
              </w:rPr>
            </w:pPr>
            <w:proofErr w:type="spellStart"/>
            <w:r>
              <w:rPr>
                <w:highlight w:val="yellow"/>
              </w:rPr>
              <w:t>Atea</w:t>
            </w:r>
            <w:proofErr w:type="spellEnd"/>
            <w:r>
              <w:rPr>
                <w:highlight w:val="yellow"/>
              </w:rPr>
              <w:t xml:space="preserve"> A/S</w:t>
            </w:r>
          </w:p>
          <w:p w14:paraId="06D39121" w14:textId="77777777" w:rsidR="00B8410E" w:rsidRDefault="00B8410E" w:rsidP="000079DA">
            <w:pPr>
              <w:rPr>
                <w:highlight w:val="yellow"/>
              </w:rPr>
            </w:pPr>
            <w:r>
              <w:rPr>
                <w:highlight w:val="yellow"/>
              </w:rPr>
              <w:t>Lautrupbjerg 10</w:t>
            </w:r>
          </w:p>
          <w:p w14:paraId="7D7358AE" w14:textId="77777777" w:rsidR="00B8410E" w:rsidRDefault="00B8410E" w:rsidP="000079DA">
            <w:pPr>
              <w:rPr>
                <w:highlight w:val="yellow"/>
              </w:rPr>
            </w:pPr>
            <w:r>
              <w:rPr>
                <w:highlight w:val="yellow"/>
              </w:rPr>
              <w:t>2750 Ballerup</w:t>
            </w:r>
          </w:p>
          <w:p w14:paraId="4D1E062B" w14:textId="77777777" w:rsidR="00B8410E" w:rsidRPr="0041776F" w:rsidRDefault="00B8410E" w:rsidP="000079DA">
            <w:pPr>
              <w:rPr>
                <w:highlight w:val="yellow"/>
              </w:rPr>
            </w:pPr>
          </w:p>
        </w:tc>
        <w:tc>
          <w:tcPr>
            <w:tcW w:w="1276" w:type="dxa"/>
          </w:tcPr>
          <w:p w14:paraId="13DF7C4F" w14:textId="77777777" w:rsidR="00B8410E" w:rsidRPr="0041776F" w:rsidRDefault="00B8410E" w:rsidP="000079DA">
            <w:pPr>
              <w:rPr>
                <w:highlight w:val="yellow"/>
              </w:rPr>
            </w:pPr>
            <w:r>
              <w:rPr>
                <w:highlight w:val="yellow"/>
              </w:rPr>
              <w:t>20016175</w:t>
            </w:r>
          </w:p>
        </w:tc>
        <w:tc>
          <w:tcPr>
            <w:tcW w:w="1984" w:type="dxa"/>
          </w:tcPr>
          <w:p w14:paraId="7FB0B09F" w14:textId="77777777" w:rsidR="00B8410E" w:rsidRPr="0041776F" w:rsidRDefault="00B8410E" w:rsidP="000079DA">
            <w:pPr>
              <w:rPr>
                <w:highlight w:val="yellow"/>
              </w:rPr>
            </w:pPr>
            <w:r>
              <w:rPr>
                <w:highlight w:val="yellow"/>
              </w:rPr>
              <w:t>Danmark</w:t>
            </w:r>
          </w:p>
        </w:tc>
        <w:tc>
          <w:tcPr>
            <w:tcW w:w="4104" w:type="dxa"/>
          </w:tcPr>
          <w:p w14:paraId="3874C05E" w14:textId="77777777" w:rsidR="00B8410E" w:rsidRPr="0041776F" w:rsidRDefault="00B8410E" w:rsidP="000079DA">
            <w:pPr>
              <w:rPr>
                <w:highlight w:val="yellow"/>
              </w:rPr>
            </w:pPr>
            <w:r>
              <w:rPr>
                <w:highlight w:val="yellow"/>
              </w:rPr>
              <w:t>Datalagring</w:t>
            </w:r>
          </w:p>
        </w:tc>
      </w:tr>
      <w:tr w:rsidR="00B8410E" w:rsidRPr="0041776F" w14:paraId="6CE0B743" w14:textId="77777777" w:rsidTr="000079DA">
        <w:tc>
          <w:tcPr>
            <w:tcW w:w="1980" w:type="dxa"/>
          </w:tcPr>
          <w:p w14:paraId="3947C9ED" w14:textId="77777777" w:rsidR="00B8410E" w:rsidRPr="0041776F" w:rsidRDefault="00B8410E" w:rsidP="000079DA">
            <w:pPr>
              <w:rPr>
                <w:highlight w:val="yellow"/>
              </w:rPr>
            </w:pPr>
          </w:p>
        </w:tc>
        <w:tc>
          <w:tcPr>
            <w:tcW w:w="1276" w:type="dxa"/>
          </w:tcPr>
          <w:p w14:paraId="121A67BC" w14:textId="77777777" w:rsidR="00B8410E" w:rsidRPr="0041776F" w:rsidRDefault="00B8410E" w:rsidP="000079DA">
            <w:pPr>
              <w:rPr>
                <w:highlight w:val="yellow"/>
              </w:rPr>
            </w:pPr>
          </w:p>
        </w:tc>
        <w:tc>
          <w:tcPr>
            <w:tcW w:w="1984" w:type="dxa"/>
          </w:tcPr>
          <w:p w14:paraId="1A0A5A96" w14:textId="77777777" w:rsidR="00B8410E" w:rsidRPr="0041776F" w:rsidRDefault="00B8410E" w:rsidP="000079DA">
            <w:pPr>
              <w:rPr>
                <w:highlight w:val="yellow"/>
              </w:rPr>
            </w:pPr>
          </w:p>
        </w:tc>
        <w:tc>
          <w:tcPr>
            <w:tcW w:w="4104" w:type="dxa"/>
          </w:tcPr>
          <w:p w14:paraId="1A41E451" w14:textId="77777777" w:rsidR="00B8410E" w:rsidRPr="0041776F" w:rsidRDefault="00B8410E" w:rsidP="000079DA">
            <w:pPr>
              <w:rPr>
                <w:highlight w:val="yellow"/>
              </w:rPr>
            </w:pPr>
          </w:p>
        </w:tc>
      </w:tr>
      <w:tr w:rsidR="00B8410E" w:rsidRPr="0041776F" w14:paraId="241340A1" w14:textId="77777777" w:rsidTr="000079DA">
        <w:tc>
          <w:tcPr>
            <w:tcW w:w="1980" w:type="dxa"/>
          </w:tcPr>
          <w:p w14:paraId="03E37C41" w14:textId="77777777" w:rsidR="00B8410E" w:rsidRPr="0041776F" w:rsidRDefault="00B8410E" w:rsidP="000079DA">
            <w:pPr>
              <w:rPr>
                <w:highlight w:val="yellow"/>
              </w:rPr>
            </w:pPr>
          </w:p>
        </w:tc>
        <w:tc>
          <w:tcPr>
            <w:tcW w:w="1276" w:type="dxa"/>
          </w:tcPr>
          <w:p w14:paraId="49228747" w14:textId="77777777" w:rsidR="00B8410E" w:rsidRPr="0041776F" w:rsidRDefault="00B8410E" w:rsidP="000079DA">
            <w:pPr>
              <w:rPr>
                <w:highlight w:val="yellow"/>
              </w:rPr>
            </w:pPr>
          </w:p>
        </w:tc>
        <w:tc>
          <w:tcPr>
            <w:tcW w:w="1984" w:type="dxa"/>
          </w:tcPr>
          <w:p w14:paraId="4CAC9B70" w14:textId="77777777" w:rsidR="00B8410E" w:rsidRPr="0041776F" w:rsidRDefault="00B8410E" w:rsidP="000079DA">
            <w:pPr>
              <w:rPr>
                <w:highlight w:val="yellow"/>
              </w:rPr>
            </w:pPr>
          </w:p>
        </w:tc>
        <w:tc>
          <w:tcPr>
            <w:tcW w:w="4104" w:type="dxa"/>
          </w:tcPr>
          <w:p w14:paraId="14D40011" w14:textId="77777777" w:rsidR="00B8410E" w:rsidRPr="0041776F" w:rsidRDefault="00B8410E" w:rsidP="000079DA">
            <w:pPr>
              <w:rPr>
                <w:highlight w:val="yellow"/>
              </w:rPr>
            </w:pPr>
          </w:p>
        </w:tc>
      </w:tr>
      <w:tr w:rsidR="00B8410E" w:rsidRPr="0041776F" w14:paraId="3D9FEC65" w14:textId="77777777" w:rsidTr="000079DA">
        <w:tc>
          <w:tcPr>
            <w:tcW w:w="1980" w:type="dxa"/>
          </w:tcPr>
          <w:p w14:paraId="11A319A9" w14:textId="77777777" w:rsidR="00B8410E" w:rsidRPr="0041776F" w:rsidRDefault="00B8410E" w:rsidP="000079DA">
            <w:pPr>
              <w:rPr>
                <w:highlight w:val="yellow"/>
              </w:rPr>
            </w:pPr>
          </w:p>
        </w:tc>
        <w:tc>
          <w:tcPr>
            <w:tcW w:w="1276" w:type="dxa"/>
          </w:tcPr>
          <w:p w14:paraId="391C3293" w14:textId="77777777" w:rsidR="00B8410E" w:rsidRPr="0041776F" w:rsidRDefault="00B8410E" w:rsidP="000079DA">
            <w:pPr>
              <w:rPr>
                <w:highlight w:val="yellow"/>
              </w:rPr>
            </w:pPr>
          </w:p>
        </w:tc>
        <w:tc>
          <w:tcPr>
            <w:tcW w:w="1984" w:type="dxa"/>
          </w:tcPr>
          <w:p w14:paraId="09CD0480" w14:textId="77777777" w:rsidR="00B8410E" w:rsidRPr="0041776F" w:rsidRDefault="00B8410E" w:rsidP="000079DA">
            <w:pPr>
              <w:rPr>
                <w:highlight w:val="yellow"/>
              </w:rPr>
            </w:pPr>
          </w:p>
        </w:tc>
        <w:tc>
          <w:tcPr>
            <w:tcW w:w="4104" w:type="dxa"/>
          </w:tcPr>
          <w:p w14:paraId="193266D6" w14:textId="77777777" w:rsidR="00B8410E" w:rsidRPr="0041776F" w:rsidRDefault="00B8410E" w:rsidP="000079DA">
            <w:pPr>
              <w:rPr>
                <w:highlight w:val="yellow"/>
              </w:rPr>
            </w:pPr>
          </w:p>
        </w:tc>
      </w:tr>
      <w:tr w:rsidR="00B8410E" w:rsidRPr="0041776F" w14:paraId="17B7707D" w14:textId="77777777" w:rsidTr="000079DA">
        <w:tc>
          <w:tcPr>
            <w:tcW w:w="1980" w:type="dxa"/>
          </w:tcPr>
          <w:p w14:paraId="3B3CB190" w14:textId="77777777" w:rsidR="00B8410E" w:rsidRPr="0041776F" w:rsidRDefault="00B8410E" w:rsidP="000079DA">
            <w:pPr>
              <w:rPr>
                <w:highlight w:val="yellow"/>
              </w:rPr>
            </w:pPr>
          </w:p>
        </w:tc>
        <w:tc>
          <w:tcPr>
            <w:tcW w:w="1276" w:type="dxa"/>
          </w:tcPr>
          <w:p w14:paraId="2274B71C" w14:textId="77777777" w:rsidR="00B8410E" w:rsidRPr="0041776F" w:rsidRDefault="00B8410E" w:rsidP="000079DA">
            <w:pPr>
              <w:rPr>
                <w:highlight w:val="yellow"/>
              </w:rPr>
            </w:pPr>
          </w:p>
        </w:tc>
        <w:tc>
          <w:tcPr>
            <w:tcW w:w="1984" w:type="dxa"/>
          </w:tcPr>
          <w:p w14:paraId="72A15FD2" w14:textId="77777777" w:rsidR="00B8410E" w:rsidRPr="0041776F" w:rsidRDefault="00B8410E" w:rsidP="000079DA">
            <w:pPr>
              <w:rPr>
                <w:highlight w:val="yellow"/>
              </w:rPr>
            </w:pPr>
          </w:p>
        </w:tc>
        <w:tc>
          <w:tcPr>
            <w:tcW w:w="4104" w:type="dxa"/>
          </w:tcPr>
          <w:p w14:paraId="33E5F366" w14:textId="77777777" w:rsidR="00B8410E" w:rsidRPr="0041776F" w:rsidRDefault="00B8410E" w:rsidP="000079DA">
            <w:pPr>
              <w:rPr>
                <w:highlight w:val="yellow"/>
              </w:rPr>
            </w:pPr>
          </w:p>
        </w:tc>
      </w:tr>
    </w:tbl>
    <w:p w14:paraId="73633C7B" w14:textId="77777777" w:rsidR="00B8410E" w:rsidRPr="0041776F" w:rsidRDefault="00B8410E" w:rsidP="00B8410E">
      <w:pPr>
        <w:rPr>
          <w:highlight w:val="yellow"/>
        </w:rPr>
      </w:pPr>
    </w:p>
    <w:p w14:paraId="4114290E" w14:textId="77777777" w:rsidR="00B8410E" w:rsidRPr="0041776F" w:rsidRDefault="00B8410E" w:rsidP="00B8410E">
      <w:pPr>
        <w:rPr>
          <w:highlight w:val="yellow"/>
        </w:rPr>
      </w:pPr>
    </w:p>
    <w:p w14:paraId="3D77C6FE" w14:textId="77777777" w:rsidR="00B8410E" w:rsidRDefault="00B8410E" w:rsidP="00B8410E">
      <w:r w:rsidRPr="0041776F">
        <w:t xml:space="preserve">Den Dataansvarlige har ved Databehandleraftalens ikrafttræden specifikt godkendt anvendelsen af ovennævnte Underdatabehandlere til netop den Behandling, som er beskrevet ud for parten. </w:t>
      </w:r>
    </w:p>
    <w:p w14:paraId="3719CDFF" w14:textId="77777777" w:rsidR="00B8410E" w:rsidRDefault="00B8410E" w:rsidP="00B8410E"/>
    <w:p w14:paraId="740093AA" w14:textId="77777777" w:rsidR="00B8410E" w:rsidRDefault="00B8410E" w:rsidP="00B8410E">
      <w:r w:rsidRPr="0041776F">
        <w:t xml:space="preserve">Databehandleren kan ikke – uden den Dataansvarliges specifikke og skriftlige godkendelse – anvende den enkelte Underdatabehandler til en anden Behandling end aftalt eller lade en anden Underdatabehandler foretage den beskrevne behandling. </w:t>
      </w:r>
    </w:p>
    <w:p w14:paraId="552DCD67" w14:textId="77777777" w:rsidR="00B8410E" w:rsidRDefault="00B8410E" w:rsidP="00B8410E"/>
    <w:p w14:paraId="592DD0F1" w14:textId="77777777" w:rsidR="00B8410E" w:rsidRPr="0041776F" w:rsidRDefault="00B8410E" w:rsidP="00B8410E">
      <w:r w:rsidRPr="0041776F">
        <w:t xml:space="preserve">Databehandleren kan endvidere ikke inddrage yderligere Underdatabehandlere, end der fremgår ovenfor, uden specifik godkendelse fra den Dataansvarlige. </w:t>
      </w:r>
    </w:p>
    <w:p w14:paraId="4DB5964D" w14:textId="77777777" w:rsidR="00B8410E" w:rsidRPr="0041776F" w:rsidRDefault="00B8410E" w:rsidP="00B8410E"/>
    <w:p w14:paraId="4A53DF44" w14:textId="77777777" w:rsidR="00B8410E" w:rsidRPr="0041776F" w:rsidRDefault="00B8410E" w:rsidP="00B8410E">
      <w:r w:rsidRPr="0041776F">
        <w:br w:type="page"/>
      </w:r>
    </w:p>
    <w:p w14:paraId="0EA8FEA2" w14:textId="77777777" w:rsidR="00B8410E" w:rsidRPr="0041776F" w:rsidRDefault="00B8410E" w:rsidP="00B8410E">
      <w:r w:rsidRPr="0041776F">
        <w:lastRenderedPageBreak/>
        <w:t xml:space="preserve">Bilag </w:t>
      </w:r>
      <w:r w:rsidRPr="0041776F">
        <w:fldChar w:fldCharType="begin"/>
      </w:r>
      <w:r w:rsidRPr="0041776F">
        <w:instrText xml:space="preserve"> REF _Ref477515343 \r \h </w:instrText>
      </w:r>
      <w:r w:rsidRPr="0041776F">
        <w:fldChar w:fldCharType="separate"/>
      </w:r>
      <w:r>
        <w:t>7.2</w:t>
      </w:r>
      <w:r w:rsidRPr="0041776F">
        <w:fldChar w:fldCharType="end"/>
      </w:r>
    </w:p>
    <w:p w14:paraId="043D58E8" w14:textId="77777777" w:rsidR="00B8410E" w:rsidRPr="0041776F" w:rsidRDefault="00B8410E" w:rsidP="00B8410E">
      <w:pPr>
        <w:rPr>
          <w:b/>
        </w:rPr>
      </w:pPr>
      <w:r w:rsidRPr="0041776F">
        <w:rPr>
          <w:b/>
        </w:rPr>
        <w:t>Sikkerhedsforanstaltninger</w:t>
      </w:r>
    </w:p>
    <w:p w14:paraId="40887DC5" w14:textId="77777777" w:rsidR="00B8410E" w:rsidRPr="0041776F" w:rsidRDefault="00B8410E" w:rsidP="00B8410E"/>
    <w:p w14:paraId="4F4DBEF7" w14:textId="77777777" w:rsidR="00B8410E" w:rsidRDefault="00B8410E" w:rsidP="00B8410E">
      <w:r>
        <w:t xml:space="preserve">Parterne er enige om, at sikkerhedsniveauet afspejler typer af Persondata, der behandler. </w:t>
      </w:r>
    </w:p>
    <w:p w14:paraId="74A3DFBF" w14:textId="77777777" w:rsidR="00B8410E" w:rsidRDefault="00B8410E" w:rsidP="00B8410E"/>
    <w:p w14:paraId="4DCB904E" w14:textId="77777777" w:rsidR="00B8410E" w:rsidRDefault="00B8410E" w:rsidP="00B8410E">
      <w:r>
        <w:t>Databehandleren er berettiget og forpligtet til at træffe beslutninger om, hvilke tekniske og organisatoriske sikkerhedsforanstaltninger, der skal anvendes for at skabe det nødvendige (og aftalte) sikkerhedsniveau omkring oplysningerne. Databehandleren skal dog i alle tilfælde og som minimum gennemføre følgende foranstaltninger, som er aftalt med den Dataansvarlige, nemlig:</w:t>
      </w:r>
    </w:p>
    <w:p w14:paraId="156BEC29" w14:textId="77777777" w:rsidR="00B8410E" w:rsidRDefault="00B8410E" w:rsidP="00B8410E">
      <w:r>
        <w:t xml:space="preserve"> </w:t>
      </w:r>
    </w:p>
    <w:p w14:paraId="684FA2FB" w14:textId="77777777" w:rsidR="00B8410E" w:rsidRDefault="00B8410E" w:rsidP="00B8410E">
      <w:r>
        <w:t>[</w:t>
      </w:r>
      <w:r w:rsidRPr="008D5E6E">
        <w:rPr>
          <w:highlight w:val="yellow"/>
        </w:rPr>
        <w:t>Beskriv eventuelle krav vedrørende pseudonymisering og kryptering af personoplysninger</w:t>
      </w:r>
      <w:r>
        <w:t>]</w:t>
      </w:r>
    </w:p>
    <w:p w14:paraId="522C58F7" w14:textId="77777777" w:rsidR="00B8410E" w:rsidRDefault="00B8410E" w:rsidP="00B8410E"/>
    <w:p w14:paraId="0A5DD726" w14:textId="77777777" w:rsidR="00B8410E" w:rsidRDefault="00B8410E" w:rsidP="00B8410E">
      <w:r>
        <w:t>[</w:t>
      </w:r>
      <w:r w:rsidRPr="008D5E6E">
        <w:rPr>
          <w:highlight w:val="yellow"/>
        </w:rPr>
        <w:t>Beskriv eventuelle krav vedrørende evnen til at sikre vedvarende fortrolighed, integritet, tilgængelighed og robusthed af behandlingssystemer og – tjenester</w:t>
      </w:r>
      <w:r>
        <w:t>]</w:t>
      </w:r>
    </w:p>
    <w:p w14:paraId="4D1370FF" w14:textId="77777777" w:rsidR="00B8410E" w:rsidRDefault="00B8410E" w:rsidP="00B8410E"/>
    <w:p w14:paraId="7DE2B635" w14:textId="77777777" w:rsidR="00B8410E" w:rsidRDefault="00B8410E" w:rsidP="00B8410E">
      <w:r>
        <w:t>[</w:t>
      </w:r>
      <w:r w:rsidRPr="008D5E6E">
        <w:rPr>
          <w:highlight w:val="yellow"/>
        </w:rPr>
        <w:t>Beskriv eventuelle krav vedrørende evnen til rettidigt at genoprette tilgængeligheden af og adgangen til personoplysninger i tilfælde af en fysisk eller teknisk hændelse</w:t>
      </w:r>
      <w:r>
        <w:t>]</w:t>
      </w:r>
    </w:p>
    <w:p w14:paraId="7D750BB5" w14:textId="77777777" w:rsidR="00B8410E" w:rsidRDefault="00B8410E" w:rsidP="00B8410E"/>
    <w:p w14:paraId="0E4F13B8" w14:textId="77777777" w:rsidR="00B8410E" w:rsidRDefault="00B8410E" w:rsidP="00B8410E">
      <w:r>
        <w:t>[</w:t>
      </w:r>
      <w:r w:rsidRPr="008D5E6E">
        <w:rPr>
          <w:highlight w:val="yellow"/>
        </w:rPr>
        <w:t>Beskriv eventuelle krav vedrørende procedurer for regelmæssig afprøvning, vurdering og evaluering af effektiviteten af de tekniske og organisatoriske foranstaltninger til sikring af behandlingssikkerhed</w:t>
      </w:r>
      <w:r>
        <w:t>]</w:t>
      </w:r>
    </w:p>
    <w:p w14:paraId="0AB44227" w14:textId="77777777" w:rsidR="00B8410E" w:rsidRDefault="00B8410E" w:rsidP="00B8410E"/>
    <w:p w14:paraId="405A9082" w14:textId="77777777" w:rsidR="00B8410E" w:rsidRDefault="00B8410E" w:rsidP="00B8410E">
      <w:r>
        <w:t>[</w:t>
      </w:r>
      <w:r w:rsidRPr="008D5E6E">
        <w:rPr>
          <w:highlight w:val="yellow"/>
        </w:rPr>
        <w:t>Beskriv eventuelle krav vedrørende adgang til data via internettet</w:t>
      </w:r>
      <w:r>
        <w:t>]</w:t>
      </w:r>
    </w:p>
    <w:p w14:paraId="6D66A9DC" w14:textId="77777777" w:rsidR="00B8410E" w:rsidRDefault="00B8410E" w:rsidP="00B8410E"/>
    <w:p w14:paraId="168F4693" w14:textId="77777777" w:rsidR="00B8410E" w:rsidRDefault="00B8410E" w:rsidP="00B8410E">
      <w:r>
        <w:t>[</w:t>
      </w:r>
      <w:r w:rsidRPr="008D5E6E">
        <w:rPr>
          <w:highlight w:val="yellow"/>
        </w:rPr>
        <w:t>Beskriv eventuelle krav vedrørende beskyttelse af data, hvor de transmitteres</w:t>
      </w:r>
      <w:r>
        <w:t>]</w:t>
      </w:r>
    </w:p>
    <w:p w14:paraId="11932D60" w14:textId="77777777" w:rsidR="00B8410E" w:rsidRDefault="00B8410E" w:rsidP="00B8410E"/>
    <w:p w14:paraId="564089A6" w14:textId="77777777" w:rsidR="00B8410E" w:rsidRDefault="00B8410E" w:rsidP="00B8410E">
      <w:r>
        <w:t>[</w:t>
      </w:r>
      <w:r w:rsidRPr="008D5E6E">
        <w:rPr>
          <w:highlight w:val="yellow"/>
        </w:rPr>
        <w:t>Beskriv eventuelle krav vedrørende beskyttelse af Persondata, hvor de opbevares, fx: Behandling af Persondata kan ikke uden den Dataansvarliges forudgående skriftlige godkendelse ske på andre lokaliteter end de følgende</w:t>
      </w:r>
      <w:r>
        <w:t>:</w:t>
      </w:r>
    </w:p>
    <w:p w14:paraId="04ED93FA" w14:textId="77777777" w:rsidR="00B8410E" w:rsidRDefault="00B8410E" w:rsidP="00B8410E">
      <w:pPr>
        <w:pStyle w:val="Opstilling-punkttegn"/>
      </w:pPr>
      <w:r>
        <w:t>[</w:t>
      </w:r>
      <w:r w:rsidRPr="008D5E6E">
        <w:rPr>
          <w:highlight w:val="yellow"/>
        </w:rPr>
        <w:t>Angiv, hvor behandlingen finder sted] [Angiv, hvilken databehandler eller underdatabehandler, der anvender adressen</w:t>
      </w:r>
      <w:r>
        <w:t xml:space="preserve">]. </w:t>
      </w:r>
    </w:p>
    <w:p w14:paraId="29529C2A" w14:textId="77777777" w:rsidR="00B8410E" w:rsidRDefault="00B8410E" w:rsidP="00B8410E">
      <w:pPr>
        <w:pStyle w:val="Opstilling-punkttegn"/>
      </w:pPr>
      <w:r>
        <w:t>[</w:t>
      </w:r>
      <w:r w:rsidRPr="008D5E6E">
        <w:rPr>
          <w:highlight w:val="yellow"/>
        </w:rPr>
        <w:t>Angiv, hvor behandlingen finder sted] [Angiv, hvilken databehandler eller underdatabehandler, der anvender adressen</w:t>
      </w:r>
      <w:r>
        <w:t>].</w:t>
      </w:r>
    </w:p>
    <w:p w14:paraId="613DAF87" w14:textId="77777777" w:rsidR="00B8410E" w:rsidRDefault="00B8410E" w:rsidP="00B8410E"/>
    <w:p w14:paraId="1683B7B2" w14:textId="77777777" w:rsidR="00B8410E" w:rsidRDefault="00B8410E" w:rsidP="00B8410E">
      <w:r>
        <w:t>[</w:t>
      </w:r>
      <w:r w:rsidRPr="008D5E6E">
        <w:rPr>
          <w:highlight w:val="yellow"/>
        </w:rPr>
        <w:t>Beskriv eventuelle krav vedrørende fysisk sikring af lokaliteter, hvor der behandles personoplysninger</w:t>
      </w:r>
      <w:r>
        <w:t>]</w:t>
      </w:r>
    </w:p>
    <w:p w14:paraId="562ADF7C" w14:textId="77777777" w:rsidR="00B8410E" w:rsidRDefault="00B8410E" w:rsidP="00B8410E"/>
    <w:p w14:paraId="45CC7E40" w14:textId="77777777" w:rsidR="00B8410E" w:rsidRDefault="00B8410E" w:rsidP="00B8410E">
      <w:r>
        <w:t>[</w:t>
      </w:r>
      <w:r w:rsidRPr="008D5E6E">
        <w:rPr>
          <w:highlight w:val="yellow"/>
        </w:rPr>
        <w:t>Beskriv eventuelle krav vedrørende anvendelse af hjemme-/fjernarbejdspladser</w:t>
      </w:r>
      <w:r>
        <w:t xml:space="preserve">] </w:t>
      </w:r>
    </w:p>
    <w:p w14:paraId="51142DCC" w14:textId="77777777" w:rsidR="00B8410E" w:rsidRDefault="00B8410E" w:rsidP="00B8410E"/>
    <w:p w14:paraId="0E2DCF11" w14:textId="77777777" w:rsidR="00B8410E" w:rsidRPr="0041776F" w:rsidRDefault="00B8410E" w:rsidP="00B8410E">
      <w:r>
        <w:t>[</w:t>
      </w:r>
      <w:r w:rsidRPr="008D5E6E">
        <w:rPr>
          <w:highlight w:val="yellow"/>
        </w:rPr>
        <w:t>Beskriv eventuelle krav vedrørende logning</w:t>
      </w:r>
      <w:r>
        <w:t>]</w:t>
      </w:r>
      <w:r w:rsidRPr="0041776F">
        <w:t xml:space="preserve"> </w:t>
      </w:r>
    </w:p>
    <w:p w14:paraId="0E6D7E7E" w14:textId="77777777" w:rsidR="00B8410E" w:rsidRPr="0041776F" w:rsidRDefault="00B8410E" w:rsidP="00B8410E"/>
    <w:p w14:paraId="7AB896A5" w14:textId="77777777" w:rsidR="00B8410E" w:rsidRPr="00B8410E" w:rsidRDefault="00B8410E" w:rsidP="00CE7A03">
      <w:pPr>
        <w:pStyle w:val="Brdtekst1"/>
        <w:rPr>
          <w:lang/>
        </w:rPr>
      </w:pPr>
    </w:p>
    <w:sectPr w:rsidR="00B8410E" w:rsidRPr="00B8410E" w:rsidSect="00704E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B8F" w14:textId="77777777" w:rsidR="007C3949" w:rsidRDefault="007C3949" w:rsidP="00295E07">
      <w:r>
        <w:separator/>
      </w:r>
    </w:p>
  </w:endnote>
  <w:endnote w:type="continuationSeparator" w:id="0">
    <w:p w14:paraId="7828576A" w14:textId="77777777" w:rsidR="007C3949" w:rsidRDefault="007C3949" w:rsidP="002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rope">
    <w:panose1 w:val="020B0604020202020204"/>
    <w:charset w:val="00"/>
    <w:family w:val="auto"/>
    <w:pitch w:val="variable"/>
    <w:sig w:usb0="A00002BF" w:usb1="50002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1275" w14:textId="2DFEC5DF" w:rsidR="00295E07" w:rsidRDefault="00BB1A49" w:rsidP="00BB1A49">
    <w:pPr>
      <w:jc w:val="right"/>
    </w:pPr>
    <w:r>
      <w:rPr>
        <w:noProof/>
      </w:rPr>
      <mc:AlternateContent>
        <mc:Choice Requires="wps">
          <w:drawing>
            <wp:anchor distT="0" distB="0" distL="114300" distR="114300" simplePos="0" relativeHeight="251659264" behindDoc="0" locked="0" layoutInCell="1" allowOverlap="1" wp14:anchorId="574450E6" wp14:editId="1FF2AB32">
              <wp:simplePos x="0" y="0"/>
              <wp:positionH relativeFrom="column">
                <wp:posOffset>-331694</wp:posOffset>
              </wp:positionH>
              <wp:positionV relativeFrom="paragraph">
                <wp:posOffset>1121</wp:posOffset>
              </wp:positionV>
              <wp:extent cx="4572000" cy="35496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4572000" cy="354965"/>
                      </a:xfrm>
                      <a:prstGeom prst="rect">
                        <a:avLst/>
                      </a:prstGeom>
                      <a:solidFill>
                        <a:schemeClr val="lt1"/>
                      </a:solidFill>
                      <a:ln w="6350">
                        <a:noFill/>
                      </a:ln>
                    </wps:spPr>
                    <wps:txbx>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450E6" id="_x0000_t202" coordsize="21600,21600" o:spt="202" path="m,l,21600r21600,l21600,xe">
              <v:stroke joinstyle="miter"/>
              <v:path gradientshapeok="t" o:connecttype="rect"/>
            </v:shapetype>
            <v:shape id="Text Box 5" o:spid="_x0000_s1026" type="#_x0000_t202" style="position:absolute;left:0;text-align:left;margin-left:-26.1pt;margin-top:.1pt;width:5in;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" fillcolor="white [3201]" stroked="f" strokeweight=".5pt">
              <v:textbox inset="0,0,0,0">
                <w:txbxContent>
                  <w:p w14:paraId="5ABB48C4" w14:textId="5051B5FB" w:rsidR="00BB1A49" w:rsidRPr="00BB1A49" w:rsidRDefault="00BB1A49" w:rsidP="00BB1A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Manrope" w:hAnsi="Manrope"/>
                        <w:sz w:val="13"/>
                        <w:szCs w:val="13"/>
                      </w:rPr>
                    </w:pPr>
                    <w:r w:rsidRPr="00BB1A49">
                      <w:rPr>
                        <w:rFonts w:ascii="Manrope" w:hAnsi="Manrope" w:cs="Helvetica"/>
                        <w:sz w:val="13"/>
                        <w:szCs w:val="13"/>
                        <w:lang w:val="da-DK"/>
                      </w:rPr>
                      <w:t>Det Danske Spejderkorps · Arsenalvej 10 · 1436 København K · Tlf.: 32 64 00 50 · info@dds.dk</w:t>
                    </w:r>
                  </w:p>
                </w:txbxContent>
              </v:textbox>
            </v:shape>
          </w:pict>
        </mc:Fallback>
      </mc:AlternateContent>
    </w:r>
    <w:r w:rsidR="00295E07">
      <w:rPr>
        <w:noProof/>
      </w:rPr>
      <w:drawing>
        <wp:inline distT="0" distB="0" distL="0" distR="0" wp14:anchorId="59E15AA1" wp14:editId="6C90A9EF">
          <wp:extent cx="860612" cy="355457"/>
          <wp:effectExtent l="0" t="0" r="3175" b="63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97341" cy="3706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A07C4" w14:textId="77777777" w:rsidR="007C3949" w:rsidRDefault="007C3949" w:rsidP="00295E07">
      <w:r>
        <w:separator/>
      </w:r>
    </w:p>
  </w:footnote>
  <w:footnote w:type="continuationSeparator" w:id="0">
    <w:p w14:paraId="1738D642" w14:textId="77777777" w:rsidR="007C3949" w:rsidRDefault="007C3949" w:rsidP="0029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38DE3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F6B69"/>
    <w:multiLevelType w:val="hybridMultilevel"/>
    <w:tmpl w:val="FE9414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815D1E"/>
    <w:multiLevelType w:val="multilevel"/>
    <w:tmpl w:val="EE6C3CA6"/>
    <w:lvl w:ilvl="0">
      <w:start w:val="1"/>
      <w:numFmt w:val="decimal"/>
      <w:lvlText w:val="%1"/>
      <w:lvlJc w:val="left"/>
      <w:pPr>
        <w:tabs>
          <w:tab w:val="num" w:pos="850"/>
        </w:tabs>
        <w:ind w:left="850" w:hanging="850"/>
      </w:pPr>
      <w:rPr>
        <w:lang w:val="da-DK"/>
      </w:rPr>
    </w:lvl>
    <w:lvl w:ilvl="1">
      <w:start w:val="1"/>
      <w:numFmt w:val="decimal"/>
      <w:lvlText w:val="%1.%2"/>
      <w:lvlJc w:val="left"/>
      <w:pPr>
        <w:tabs>
          <w:tab w:val="num" w:pos="850"/>
        </w:tabs>
        <w:ind w:left="850" w:hanging="850"/>
      </w:pPr>
      <w:rPr>
        <w:b w:val="0"/>
      </w:r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850"/>
        </w:tabs>
        <w:ind w:left="850" w:hanging="85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09111230"/>
    <w:multiLevelType w:val="hybridMultilevel"/>
    <w:tmpl w:val="BCC43A4E"/>
    <w:lvl w:ilvl="0" w:tplc="04060019">
      <w:start w:val="1"/>
      <w:numFmt w:val="lowerLetter"/>
      <w:lvlText w:val="%1."/>
      <w:lvlJc w:val="left"/>
      <w:pPr>
        <w:ind w:left="1713" w:hanging="360"/>
      </w:pPr>
    </w:lvl>
    <w:lvl w:ilvl="1" w:tplc="04060019" w:tentative="1">
      <w:start w:val="1"/>
      <w:numFmt w:val="lowerLetter"/>
      <w:lvlText w:val="%2."/>
      <w:lvlJc w:val="left"/>
      <w:pPr>
        <w:ind w:left="2433" w:hanging="360"/>
      </w:pPr>
    </w:lvl>
    <w:lvl w:ilvl="2" w:tplc="0406001B" w:tentative="1">
      <w:start w:val="1"/>
      <w:numFmt w:val="lowerRoman"/>
      <w:lvlText w:val="%3."/>
      <w:lvlJc w:val="right"/>
      <w:pPr>
        <w:ind w:left="3153" w:hanging="180"/>
      </w:pPr>
    </w:lvl>
    <w:lvl w:ilvl="3" w:tplc="0406000F" w:tentative="1">
      <w:start w:val="1"/>
      <w:numFmt w:val="decimal"/>
      <w:lvlText w:val="%4."/>
      <w:lvlJc w:val="left"/>
      <w:pPr>
        <w:ind w:left="3873" w:hanging="360"/>
      </w:pPr>
    </w:lvl>
    <w:lvl w:ilvl="4" w:tplc="04060019" w:tentative="1">
      <w:start w:val="1"/>
      <w:numFmt w:val="lowerLetter"/>
      <w:lvlText w:val="%5."/>
      <w:lvlJc w:val="left"/>
      <w:pPr>
        <w:ind w:left="4593" w:hanging="360"/>
      </w:pPr>
    </w:lvl>
    <w:lvl w:ilvl="5" w:tplc="0406001B" w:tentative="1">
      <w:start w:val="1"/>
      <w:numFmt w:val="lowerRoman"/>
      <w:lvlText w:val="%6."/>
      <w:lvlJc w:val="right"/>
      <w:pPr>
        <w:ind w:left="5313" w:hanging="180"/>
      </w:pPr>
    </w:lvl>
    <w:lvl w:ilvl="6" w:tplc="0406000F" w:tentative="1">
      <w:start w:val="1"/>
      <w:numFmt w:val="decimal"/>
      <w:lvlText w:val="%7."/>
      <w:lvlJc w:val="left"/>
      <w:pPr>
        <w:ind w:left="6033" w:hanging="360"/>
      </w:pPr>
    </w:lvl>
    <w:lvl w:ilvl="7" w:tplc="04060019" w:tentative="1">
      <w:start w:val="1"/>
      <w:numFmt w:val="lowerLetter"/>
      <w:lvlText w:val="%8."/>
      <w:lvlJc w:val="left"/>
      <w:pPr>
        <w:ind w:left="6753" w:hanging="360"/>
      </w:pPr>
    </w:lvl>
    <w:lvl w:ilvl="8" w:tplc="0406001B" w:tentative="1">
      <w:start w:val="1"/>
      <w:numFmt w:val="lowerRoman"/>
      <w:lvlText w:val="%9."/>
      <w:lvlJc w:val="right"/>
      <w:pPr>
        <w:ind w:left="7473" w:hanging="180"/>
      </w:pPr>
    </w:lvl>
  </w:abstractNum>
  <w:abstractNum w:abstractNumId="4"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5" w15:restartNumberingAfterBreak="0">
    <w:nsid w:val="34BC5927"/>
    <w:multiLevelType w:val="hybridMultilevel"/>
    <w:tmpl w:val="115C4E6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7" w15:restartNumberingAfterBreak="0">
    <w:nsid w:val="39A36FFF"/>
    <w:multiLevelType w:val="hybridMultilevel"/>
    <w:tmpl w:val="C98CA75E"/>
    <w:lvl w:ilvl="0" w:tplc="0406000F">
      <w:start w:val="1"/>
      <w:numFmt w:val="decimal"/>
      <w:lvlText w:val="%1."/>
      <w:lvlJc w:val="left"/>
      <w:pPr>
        <w:ind w:left="2574" w:hanging="360"/>
      </w:pPr>
    </w:lvl>
    <w:lvl w:ilvl="1" w:tplc="04060019">
      <w:start w:val="1"/>
      <w:numFmt w:val="lowerLetter"/>
      <w:lvlText w:val="%2."/>
      <w:lvlJc w:val="left"/>
      <w:pPr>
        <w:ind w:left="3294" w:hanging="360"/>
      </w:pPr>
    </w:lvl>
    <w:lvl w:ilvl="2" w:tplc="0406001B">
      <w:start w:val="1"/>
      <w:numFmt w:val="lowerRoman"/>
      <w:lvlText w:val="%3."/>
      <w:lvlJc w:val="right"/>
      <w:pPr>
        <w:ind w:left="4014" w:hanging="180"/>
      </w:pPr>
    </w:lvl>
    <w:lvl w:ilvl="3" w:tplc="0406000F">
      <w:start w:val="1"/>
      <w:numFmt w:val="decimal"/>
      <w:lvlText w:val="%4."/>
      <w:lvlJc w:val="left"/>
      <w:pPr>
        <w:ind w:left="4734" w:hanging="360"/>
      </w:pPr>
    </w:lvl>
    <w:lvl w:ilvl="4" w:tplc="04060019">
      <w:start w:val="1"/>
      <w:numFmt w:val="lowerLetter"/>
      <w:lvlText w:val="%5."/>
      <w:lvlJc w:val="left"/>
      <w:pPr>
        <w:ind w:left="5454" w:hanging="360"/>
      </w:pPr>
    </w:lvl>
    <w:lvl w:ilvl="5" w:tplc="0406001B">
      <w:start w:val="1"/>
      <w:numFmt w:val="lowerRoman"/>
      <w:lvlText w:val="%6."/>
      <w:lvlJc w:val="right"/>
      <w:pPr>
        <w:ind w:left="6174" w:hanging="180"/>
      </w:pPr>
    </w:lvl>
    <w:lvl w:ilvl="6" w:tplc="0406000F">
      <w:start w:val="1"/>
      <w:numFmt w:val="decimal"/>
      <w:lvlText w:val="%7."/>
      <w:lvlJc w:val="left"/>
      <w:pPr>
        <w:ind w:left="6894" w:hanging="360"/>
      </w:pPr>
    </w:lvl>
    <w:lvl w:ilvl="7" w:tplc="04060019">
      <w:start w:val="1"/>
      <w:numFmt w:val="lowerLetter"/>
      <w:lvlText w:val="%8."/>
      <w:lvlJc w:val="left"/>
      <w:pPr>
        <w:ind w:left="7614" w:hanging="360"/>
      </w:pPr>
    </w:lvl>
    <w:lvl w:ilvl="8" w:tplc="0406001B">
      <w:start w:val="1"/>
      <w:numFmt w:val="lowerRoman"/>
      <w:lvlText w:val="%9."/>
      <w:lvlJc w:val="right"/>
      <w:pPr>
        <w:ind w:left="8334" w:hanging="180"/>
      </w:pPr>
    </w:lvl>
  </w:abstractNum>
  <w:abstractNum w:abstractNumId="8" w15:restartNumberingAfterBreak="0">
    <w:nsid w:val="3D7D15AC"/>
    <w:multiLevelType w:val="multilevel"/>
    <w:tmpl w:val="82081362"/>
    <w:lvl w:ilvl="0">
      <w:start w:val="1"/>
      <w:numFmt w:val="decimal"/>
      <w:pStyle w:val="Opstilm1-a-iAltn"/>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9"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0" w15:restartNumberingAfterBreak="0">
    <w:nsid w:val="577729CF"/>
    <w:multiLevelType w:val="multilevel"/>
    <w:tmpl w:val="A6C8B300"/>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851"/>
        </w:tabs>
        <w:ind w:left="0" w:firstLine="0"/>
      </w:pPr>
      <w:rPr>
        <w:rFonts w:ascii="Verdana" w:hAnsi="Verdana" w:hint="default"/>
        <w:b w:val="0"/>
        <w:i w:val="0"/>
        <w:sz w:val="18"/>
      </w:rPr>
    </w:lvl>
    <w:lvl w:ilvl="2">
      <w:start w:val="1"/>
      <w:numFmt w:val="decimal"/>
      <w:pStyle w:val="SANiveau3"/>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ADB49A0"/>
    <w:multiLevelType w:val="hybridMultilevel"/>
    <w:tmpl w:val="0A2A3CCA"/>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3"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num w:numId="1" w16cid:durableId="2002196890">
    <w:abstractNumId w:val="13"/>
  </w:num>
  <w:num w:numId="2" w16cid:durableId="1805123895">
    <w:abstractNumId w:val="8"/>
  </w:num>
  <w:num w:numId="3" w16cid:durableId="952370417">
    <w:abstractNumId w:val="9"/>
  </w:num>
  <w:num w:numId="4" w16cid:durableId="1157306658">
    <w:abstractNumId w:val="6"/>
  </w:num>
  <w:num w:numId="5" w16cid:durableId="1717310963">
    <w:abstractNumId w:val="4"/>
  </w:num>
  <w:num w:numId="6" w16cid:durableId="999312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473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5277337">
    <w:abstractNumId w:val="10"/>
  </w:num>
  <w:num w:numId="9" w16cid:durableId="1459182412">
    <w:abstractNumId w:val="12"/>
  </w:num>
  <w:num w:numId="10" w16cid:durableId="1018191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414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64953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5167658">
    <w:abstractNumId w:val="11"/>
  </w:num>
  <w:num w:numId="14" w16cid:durableId="313686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4495469">
    <w:abstractNumId w:val="1"/>
  </w:num>
  <w:num w:numId="16" w16cid:durableId="177087029">
    <w:abstractNumId w:val="3"/>
  </w:num>
  <w:num w:numId="17" w16cid:durableId="2057852175">
    <w:abstractNumId w:val="5"/>
  </w:num>
  <w:num w:numId="18" w16cid:durableId="181791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8"/>
    <w:rsid w:val="001E0957"/>
    <w:rsid w:val="00200B8D"/>
    <w:rsid w:val="00295E07"/>
    <w:rsid w:val="00300988"/>
    <w:rsid w:val="003C068C"/>
    <w:rsid w:val="003E169B"/>
    <w:rsid w:val="00422EBF"/>
    <w:rsid w:val="00626BCD"/>
    <w:rsid w:val="0066646A"/>
    <w:rsid w:val="006877D4"/>
    <w:rsid w:val="00704EFD"/>
    <w:rsid w:val="007C3949"/>
    <w:rsid w:val="008456D6"/>
    <w:rsid w:val="00904D2E"/>
    <w:rsid w:val="00936488"/>
    <w:rsid w:val="009D6C5E"/>
    <w:rsid w:val="00AC6920"/>
    <w:rsid w:val="00B21D6F"/>
    <w:rsid w:val="00B8410E"/>
    <w:rsid w:val="00BB1A49"/>
    <w:rsid w:val="00BE16A4"/>
    <w:rsid w:val="00C2614F"/>
    <w:rsid w:val="00C578E3"/>
    <w:rsid w:val="00CE7A03"/>
    <w:rsid w:val="00D05F6F"/>
    <w:rsid w:val="00D4137A"/>
    <w:rsid w:val="00DD3037"/>
    <w:rsid w:val="00F228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77C3A"/>
  <w15:chartTrackingRefBased/>
  <w15:docId w15:val="{F6A565B7-808A-2C41-B24C-7C420C0C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Overskrift1">
    <w:name w:val="heading 1"/>
    <w:basedOn w:val="Normal"/>
    <w:next w:val="Normal"/>
    <w:link w:val="Overskrift1Tegn"/>
    <w:qFormat/>
    <w:rsid w:val="00B21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nhideWhenUsed/>
    <w:qFormat/>
    <w:rsid w:val="00B21D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semiHidden/>
    <w:qFormat/>
    <w:rsid w:val="00B8410E"/>
    <w:pPr>
      <w:spacing w:after="180" w:line="288" w:lineRule="auto"/>
      <w:jc w:val="both"/>
      <w:outlineLvl w:val="2"/>
    </w:pPr>
    <w:rPr>
      <w:rFonts w:ascii="Verdana" w:eastAsia="Times New Roman" w:hAnsi="Verdana" w:cs="Times New Roman"/>
      <w:caps/>
      <w:sz w:val="18"/>
      <w:szCs w:val="18"/>
      <w:lang w:val="da-DK" w:eastAsia="da-DK"/>
    </w:rPr>
  </w:style>
  <w:style w:type="paragraph" w:styleId="Overskrift4">
    <w:name w:val="heading 4"/>
    <w:basedOn w:val="Normal"/>
    <w:next w:val="Normal"/>
    <w:link w:val="Overskrift4Tegn"/>
    <w:semiHidden/>
    <w:qFormat/>
    <w:rsid w:val="00B8410E"/>
    <w:pPr>
      <w:spacing w:after="180" w:line="288" w:lineRule="auto"/>
      <w:jc w:val="both"/>
      <w:outlineLvl w:val="3"/>
    </w:pPr>
    <w:rPr>
      <w:rFonts w:ascii="Verdana" w:eastAsia="Times New Roman" w:hAnsi="Verdana" w:cs="Times New Roman"/>
      <w:caps/>
      <w:sz w:val="18"/>
      <w:szCs w:val="18"/>
      <w:lang w:val="da-DK" w:eastAsia="da-DK"/>
    </w:rPr>
  </w:style>
  <w:style w:type="paragraph" w:styleId="Overskrift5">
    <w:name w:val="heading 5"/>
    <w:basedOn w:val="Normal"/>
    <w:next w:val="Normal"/>
    <w:link w:val="Overskrift5Tegn"/>
    <w:semiHidden/>
    <w:unhideWhenUsed/>
    <w:qFormat/>
    <w:rsid w:val="00B8410E"/>
    <w:pPr>
      <w:keepNext/>
      <w:keepLines/>
      <w:tabs>
        <w:tab w:val="num" w:pos="850"/>
      </w:tabs>
      <w:spacing w:before="40" w:line="288" w:lineRule="auto"/>
      <w:ind w:left="850" w:hanging="850"/>
      <w:jc w:val="both"/>
      <w:outlineLvl w:val="4"/>
    </w:pPr>
    <w:rPr>
      <w:rFonts w:asciiTheme="majorHAnsi" w:eastAsiaTheme="majorEastAsia" w:hAnsiTheme="majorHAnsi" w:cstheme="majorBidi"/>
      <w:color w:val="2F5496" w:themeColor="accent1" w:themeShade="BF"/>
      <w:sz w:val="18"/>
      <w:szCs w:val="18"/>
      <w:lang w:val="da-DK" w:eastAsia="da-DK"/>
    </w:rPr>
  </w:style>
  <w:style w:type="paragraph" w:styleId="Overskrift6">
    <w:name w:val="heading 6"/>
    <w:basedOn w:val="Normal"/>
    <w:next w:val="Normal"/>
    <w:link w:val="Overskrift6Tegn"/>
    <w:semiHidden/>
    <w:unhideWhenUsed/>
    <w:qFormat/>
    <w:rsid w:val="00B8410E"/>
    <w:pPr>
      <w:keepNext/>
      <w:keepLines/>
      <w:spacing w:before="40" w:line="288" w:lineRule="auto"/>
      <w:ind w:left="3600"/>
      <w:jc w:val="both"/>
      <w:outlineLvl w:val="5"/>
    </w:pPr>
    <w:rPr>
      <w:rFonts w:asciiTheme="majorHAnsi" w:eastAsiaTheme="majorEastAsia" w:hAnsiTheme="majorHAnsi" w:cstheme="majorBidi"/>
      <w:color w:val="1F3763" w:themeColor="accent1" w:themeShade="7F"/>
      <w:sz w:val="18"/>
      <w:szCs w:val="18"/>
      <w:lang w:val="da-DK" w:eastAsia="da-DK"/>
    </w:rPr>
  </w:style>
  <w:style w:type="paragraph" w:styleId="Overskrift7">
    <w:name w:val="heading 7"/>
    <w:basedOn w:val="Normal"/>
    <w:next w:val="Normal"/>
    <w:link w:val="Overskrift7Tegn"/>
    <w:semiHidden/>
    <w:unhideWhenUsed/>
    <w:qFormat/>
    <w:rsid w:val="00B8410E"/>
    <w:pPr>
      <w:keepNext/>
      <w:keepLines/>
      <w:spacing w:before="40" w:line="288" w:lineRule="auto"/>
      <w:ind w:left="4320"/>
      <w:jc w:val="both"/>
      <w:outlineLvl w:val="6"/>
    </w:pPr>
    <w:rPr>
      <w:rFonts w:asciiTheme="majorHAnsi" w:eastAsiaTheme="majorEastAsia" w:hAnsiTheme="majorHAnsi" w:cstheme="majorBidi"/>
      <w:i/>
      <w:iCs/>
      <w:color w:val="1F3763" w:themeColor="accent1" w:themeShade="7F"/>
      <w:sz w:val="18"/>
      <w:szCs w:val="18"/>
      <w:lang w:val="da-DK" w:eastAsia="da-DK"/>
    </w:rPr>
  </w:style>
  <w:style w:type="paragraph" w:styleId="Overskrift8">
    <w:name w:val="heading 8"/>
    <w:basedOn w:val="Normal"/>
    <w:next w:val="Normal"/>
    <w:link w:val="Overskrift8Tegn"/>
    <w:semiHidden/>
    <w:unhideWhenUsed/>
    <w:qFormat/>
    <w:rsid w:val="00B8410E"/>
    <w:pPr>
      <w:keepNext/>
      <w:keepLines/>
      <w:spacing w:before="40" w:line="288" w:lineRule="auto"/>
      <w:ind w:left="5040"/>
      <w:jc w:val="both"/>
      <w:outlineLvl w:val="7"/>
    </w:pPr>
    <w:rPr>
      <w:rFonts w:asciiTheme="majorHAnsi" w:eastAsiaTheme="majorEastAsia" w:hAnsiTheme="majorHAnsi" w:cstheme="majorBidi"/>
      <w:color w:val="272727" w:themeColor="text1" w:themeTint="D8"/>
      <w:sz w:val="21"/>
      <w:szCs w:val="21"/>
      <w:lang w:val="da-DK" w:eastAsia="da-DK"/>
    </w:rPr>
  </w:style>
  <w:style w:type="paragraph" w:styleId="Overskrift9">
    <w:name w:val="heading 9"/>
    <w:basedOn w:val="Normal"/>
    <w:next w:val="Normal"/>
    <w:link w:val="Overskrift9Tegn"/>
    <w:semiHidden/>
    <w:unhideWhenUsed/>
    <w:qFormat/>
    <w:rsid w:val="00B8410E"/>
    <w:pPr>
      <w:keepNext/>
      <w:keepLines/>
      <w:spacing w:before="40" w:line="288" w:lineRule="auto"/>
      <w:ind w:left="5760"/>
      <w:jc w:val="both"/>
      <w:outlineLvl w:val="8"/>
    </w:pPr>
    <w:rPr>
      <w:rFonts w:asciiTheme="majorHAnsi" w:eastAsiaTheme="majorEastAsia" w:hAnsiTheme="majorHAnsi" w:cstheme="majorBidi"/>
      <w:i/>
      <w:iCs/>
      <w:color w:val="272727" w:themeColor="text1" w:themeTint="D8"/>
      <w:sz w:val="21"/>
      <w:szCs w:val="21"/>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21D6F"/>
    <w:rPr>
      <w:rFonts w:asciiTheme="majorHAnsi" w:eastAsiaTheme="majorEastAsia" w:hAnsiTheme="majorHAnsi" w:cstheme="majorBidi"/>
      <w:color w:val="2F5496" w:themeColor="accent1" w:themeShade="BF"/>
      <w:sz w:val="26"/>
      <w:szCs w:val="26"/>
    </w:rPr>
  </w:style>
  <w:style w:type="paragraph" w:styleId="Sidehoved">
    <w:name w:val="header"/>
    <w:basedOn w:val="Normal"/>
    <w:link w:val="SidehovedTegn"/>
    <w:unhideWhenUsed/>
    <w:rsid w:val="00BB1A49"/>
    <w:pPr>
      <w:tabs>
        <w:tab w:val="center" w:pos="4513"/>
        <w:tab w:val="right" w:pos="9026"/>
      </w:tabs>
    </w:pPr>
  </w:style>
  <w:style w:type="character" w:customStyle="1" w:styleId="SidehovedTegn">
    <w:name w:val="Sidehoved Tegn"/>
    <w:basedOn w:val="Standardskrifttypeiafsnit"/>
    <w:link w:val="Sidehoved"/>
    <w:uiPriority w:val="99"/>
    <w:rsid w:val="00BB1A49"/>
  </w:style>
  <w:style w:type="paragraph" w:styleId="Sidefod">
    <w:name w:val="footer"/>
    <w:basedOn w:val="Normal"/>
    <w:link w:val="SidefodTegn"/>
    <w:unhideWhenUsed/>
    <w:rsid w:val="00BB1A49"/>
    <w:pPr>
      <w:tabs>
        <w:tab w:val="center" w:pos="4513"/>
        <w:tab w:val="right" w:pos="9026"/>
      </w:tabs>
    </w:pPr>
  </w:style>
  <w:style w:type="character" w:customStyle="1" w:styleId="SidefodTegn">
    <w:name w:val="Sidefod Tegn"/>
    <w:basedOn w:val="Standardskrifttypeiafsnit"/>
    <w:link w:val="Sidefod"/>
    <w:uiPriority w:val="99"/>
    <w:rsid w:val="00BB1A49"/>
  </w:style>
  <w:style w:type="character" w:customStyle="1" w:styleId="Overskrift1Tegn">
    <w:name w:val="Overskrift 1 Tegn"/>
    <w:basedOn w:val="Standardskrifttypeiafsnit"/>
    <w:link w:val="Overskrift1"/>
    <w:uiPriority w:val="9"/>
    <w:rsid w:val="00B21D6F"/>
    <w:rPr>
      <w:rFonts w:asciiTheme="majorHAnsi" w:eastAsiaTheme="majorEastAsia" w:hAnsiTheme="majorHAnsi" w:cstheme="majorBidi"/>
      <w:color w:val="2F5496" w:themeColor="accent1" w:themeShade="BF"/>
      <w:sz w:val="32"/>
      <w:szCs w:val="32"/>
    </w:rPr>
  </w:style>
  <w:style w:type="paragraph" w:customStyle="1" w:styleId="Overskrift10">
    <w:name w:val="Overskrift1"/>
    <w:basedOn w:val="Normal"/>
    <w:qFormat/>
    <w:rsid w:val="00B21D6F"/>
    <w:rPr>
      <w:rFonts w:ascii="Manrope" w:hAnsi="Manrope"/>
      <w:b/>
      <w:sz w:val="52"/>
    </w:rPr>
  </w:style>
  <w:style w:type="paragraph" w:customStyle="1" w:styleId="Brdtekst1">
    <w:name w:val="Brødtekst1"/>
    <w:basedOn w:val="Normal"/>
    <w:qFormat/>
    <w:rsid w:val="00B21D6F"/>
    <w:rPr>
      <w:rFonts w:ascii="Manrope" w:hAnsi="Manrope"/>
      <w:lang w:val="da-DK"/>
    </w:rPr>
  </w:style>
  <w:style w:type="paragraph" w:customStyle="1" w:styleId="Underrubrik">
    <w:name w:val="Underrubrik"/>
    <w:basedOn w:val="Brdtekst1"/>
    <w:qFormat/>
    <w:rsid w:val="00C2614F"/>
    <w:rPr>
      <w:b/>
      <w:bCs/>
      <w:color w:val="005DA9"/>
    </w:rPr>
  </w:style>
  <w:style w:type="character" w:customStyle="1" w:styleId="Overskrift3Tegn">
    <w:name w:val="Overskrift 3 Tegn"/>
    <w:basedOn w:val="Standardskrifttypeiafsnit"/>
    <w:link w:val="Overskrift3"/>
    <w:semiHidden/>
    <w:rsid w:val="00B8410E"/>
    <w:rPr>
      <w:rFonts w:ascii="Verdana" w:eastAsia="Times New Roman" w:hAnsi="Verdana" w:cs="Times New Roman"/>
      <w:caps/>
      <w:sz w:val="18"/>
      <w:szCs w:val="18"/>
      <w:lang w:val="da-DK" w:eastAsia="da-DK"/>
    </w:rPr>
  </w:style>
  <w:style w:type="character" w:customStyle="1" w:styleId="Overskrift4Tegn">
    <w:name w:val="Overskrift 4 Tegn"/>
    <w:basedOn w:val="Standardskrifttypeiafsnit"/>
    <w:link w:val="Overskrift4"/>
    <w:semiHidden/>
    <w:rsid w:val="00B8410E"/>
    <w:rPr>
      <w:rFonts w:ascii="Verdana" w:eastAsia="Times New Roman" w:hAnsi="Verdana" w:cs="Times New Roman"/>
      <w:caps/>
      <w:sz w:val="18"/>
      <w:szCs w:val="18"/>
      <w:lang w:val="da-DK" w:eastAsia="da-DK"/>
    </w:rPr>
  </w:style>
  <w:style w:type="character" w:customStyle="1" w:styleId="Overskrift5Tegn">
    <w:name w:val="Overskrift 5 Tegn"/>
    <w:basedOn w:val="Standardskrifttypeiafsnit"/>
    <w:link w:val="Overskrift5"/>
    <w:semiHidden/>
    <w:rsid w:val="00B8410E"/>
    <w:rPr>
      <w:rFonts w:asciiTheme="majorHAnsi" w:eastAsiaTheme="majorEastAsia" w:hAnsiTheme="majorHAnsi" w:cstheme="majorBidi"/>
      <w:color w:val="2F5496" w:themeColor="accent1" w:themeShade="BF"/>
      <w:sz w:val="18"/>
      <w:szCs w:val="18"/>
      <w:lang w:val="da-DK" w:eastAsia="da-DK"/>
    </w:rPr>
  </w:style>
  <w:style w:type="character" w:customStyle="1" w:styleId="Overskrift6Tegn">
    <w:name w:val="Overskrift 6 Tegn"/>
    <w:basedOn w:val="Standardskrifttypeiafsnit"/>
    <w:link w:val="Overskrift6"/>
    <w:semiHidden/>
    <w:rsid w:val="00B8410E"/>
    <w:rPr>
      <w:rFonts w:asciiTheme="majorHAnsi" w:eastAsiaTheme="majorEastAsia" w:hAnsiTheme="majorHAnsi" w:cstheme="majorBidi"/>
      <w:color w:val="1F3763" w:themeColor="accent1" w:themeShade="7F"/>
      <w:sz w:val="18"/>
      <w:szCs w:val="18"/>
      <w:lang w:val="da-DK" w:eastAsia="da-DK"/>
    </w:rPr>
  </w:style>
  <w:style w:type="character" w:customStyle="1" w:styleId="Overskrift7Tegn">
    <w:name w:val="Overskrift 7 Tegn"/>
    <w:basedOn w:val="Standardskrifttypeiafsnit"/>
    <w:link w:val="Overskrift7"/>
    <w:semiHidden/>
    <w:rsid w:val="00B8410E"/>
    <w:rPr>
      <w:rFonts w:asciiTheme="majorHAnsi" w:eastAsiaTheme="majorEastAsia" w:hAnsiTheme="majorHAnsi" w:cstheme="majorBidi"/>
      <w:i/>
      <w:iCs/>
      <w:color w:val="1F3763" w:themeColor="accent1" w:themeShade="7F"/>
      <w:sz w:val="18"/>
      <w:szCs w:val="18"/>
      <w:lang w:val="da-DK" w:eastAsia="da-DK"/>
    </w:rPr>
  </w:style>
  <w:style w:type="character" w:customStyle="1" w:styleId="Overskrift8Tegn">
    <w:name w:val="Overskrift 8 Tegn"/>
    <w:basedOn w:val="Standardskrifttypeiafsnit"/>
    <w:link w:val="Overskrift8"/>
    <w:semiHidden/>
    <w:rsid w:val="00B8410E"/>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semiHidden/>
    <w:rsid w:val="00B8410E"/>
    <w:rPr>
      <w:rFonts w:asciiTheme="majorHAnsi" w:eastAsiaTheme="majorEastAsia" w:hAnsiTheme="majorHAnsi" w:cstheme="majorBidi"/>
      <w:i/>
      <w:iCs/>
      <w:color w:val="272727" w:themeColor="text1" w:themeTint="D8"/>
      <w:sz w:val="21"/>
      <w:szCs w:val="21"/>
      <w:lang w:val="da-DK" w:eastAsia="da-DK"/>
    </w:rPr>
  </w:style>
  <w:style w:type="paragraph" w:customStyle="1" w:styleId="OpstilmbogstavAlta">
    <w:name w:val="Opstil m. bogstav (Alt+a)"/>
    <w:basedOn w:val="Normal"/>
    <w:qFormat/>
    <w:rsid w:val="00B8410E"/>
    <w:pPr>
      <w:numPr>
        <w:numId w:val="3"/>
      </w:numPr>
      <w:spacing w:line="288" w:lineRule="auto"/>
      <w:ind w:left="1418"/>
      <w:jc w:val="both"/>
    </w:pPr>
    <w:rPr>
      <w:rFonts w:ascii="Verdana" w:eastAsia="Times New Roman" w:hAnsi="Verdana" w:cs="Times New Roman"/>
      <w:sz w:val="18"/>
      <w:szCs w:val="18"/>
      <w:lang w:val="da-DK" w:eastAsia="da-DK"/>
    </w:rPr>
  </w:style>
  <w:style w:type="paragraph" w:customStyle="1" w:styleId="OpstilmbulletAltp">
    <w:name w:val="Opstil m. bullet (Alt+p)"/>
    <w:basedOn w:val="Normal"/>
    <w:qFormat/>
    <w:rsid w:val="00B8410E"/>
    <w:pPr>
      <w:numPr>
        <w:numId w:val="4"/>
      </w:numPr>
      <w:spacing w:line="288" w:lineRule="auto"/>
      <w:ind w:left="1418"/>
      <w:jc w:val="both"/>
    </w:pPr>
    <w:rPr>
      <w:rFonts w:ascii="Verdana" w:eastAsia="Times New Roman" w:hAnsi="Verdana" w:cs="Times New Roman"/>
      <w:sz w:val="18"/>
      <w:szCs w:val="18"/>
      <w:lang w:val="da-DK" w:eastAsia="da-DK"/>
    </w:rPr>
  </w:style>
  <w:style w:type="character" w:styleId="Sidetal">
    <w:name w:val="page number"/>
    <w:basedOn w:val="Standardskrifttypeiafsnit"/>
    <w:rsid w:val="00B8410E"/>
    <w:rPr>
      <w:noProof/>
    </w:rPr>
  </w:style>
  <w:style w:type="paragraph" w:customStyle="1" w:styleId="OpstilmstregAlts">
    <w:name w:val="Opstil m. streg (Alt+s)"/>
    <w:qFormat/>
    <w:rsid w:val="00B8410E"/>
    <w:pPr>
      <w:numPr>
        <w:numId w:val="5"/>
      </w:numPr>
      <w:spacing w:line="288" w:lineRule="auto"/>
      <w:jc w:val="both"/>
    </w:pPr>
    <w:rPr>
      <w:rFonts w:ascii="Verdana" w:eastAsia="Times New Roman" w:hAnsi="Verdana" w:cs="Times New Roman"/>
      <w:sz w:val="18"/>
      <w:szCs w:val="18"/>
      <w:lang w:val="da-DK" w:eastAsia="da-DK"/>
    </w:rPr>
  </w:style>
  <w:style w:type="paragraph" w:styleId="Normalindrykning">
    <w:name w:val="Normal Indent"/>
    <w:basedOn w:val="Normal"/>
    <w:qFormat/>
    <w:rsid w:val="00B8410E"/>
    <w:pPr>
      <w:spacing w:line="288" w:lineRule="auto"/>
      <w:ind w:left="851"/>
      <w:jc w:val="both"/>
    </w:pPr>
    <w:rPr>
      <w:rFonts w:ascii="Verdana" w:eastAsia="Times New Roman" w:hAnsi="Verdana" w:cs="Times New Roman"/>
      <w:sz w:val="18"/>
      <w:szCs w:val="18"/>
      <w:lang w:val="da-DK" w:eastAsia="da-DK"/>
    </w:rPr>
  </w:style>
  <w:style w:type="paragraph" w:customStyle="1" w:styleId="Opstilm1-11-111Altm">
    <w:name w:val="Opstil m. 1 - 1.1 - 1.1.1 (Alt+m)"/>
    <w:basedOn w:val="Normal"/>
    <w:qFormat/>
    <w:rsid w:val="00B8410E"/>
    <w:pPr>
      <w:numPr>
        <w:numId w:val="1"/>
      </w:numPr>
      <w:spacing w:after="140" w:line="288" w:lineRule="auto"/>
      <w:jc w:val="both"/>
    </w:pPr>
    <w:rPr>
      <w:rFonts w:ascii="Verdana" w:eastAsia="Times New Roman" w:hAnsi="Verdana" w:cs="Times New Roman"/>
      <w:sz w:val="18"/>
      <w:szCs w:val="18"/>
      <w:lang w:val="da-DK" w:eastAsia="da-DK"/>
    </w:rPr>
  </w:style>
  <w:style w:type="paragraph" w:customStyle="1" w:styleId="Opstilm1-a-iAltn">
    <w:name w:val="Opstil m. 1. - a. - i.  (Alt+n)"/>
    <w:basedOn w:val="Normal"/>
    <w:qFormat/>
    <w:rsid w:val="00B8410E"/>
    <w:pPr>
      <w:numPr>
        <w:numId w:val="2"/>
      </w:numPr>
      <w:spacing w:line="288" w:lineRule="auto"/>
      <w:ind w:left="1418"/>
      <w:jc w:val="both"/>
    </w:pPr>
    <w:rPr>
      <w:rFonts w:ascii="Verdana" w:eastAsia="Times New Roman" w:hAnsi="Verdana" w:cs="Times New Roman"/>
      <w:sz w:val="18"/>
      <w:szCs w:val="18"/>
      <w:lang w:val="da-DK" w:eastAsia="da-DK"/>
    </w:rPr>
  </w:style>
  <w:style w:type="paragraph" w:styleId="Titel">
    <w:name w:val="Title"/>
    <w:next w:val="Normal"/>
    <w:link w:val="TitelTegn"/>
    <w:qFormat/>
    <w:rsid w:val="00B8410E"/>
    <w:pPr>
      <w:spacing w:line="288" w:lineRule="auto"/>
      <w:contextualSpacing/>
      <w:jc w:val="both"/>
    </w:pPr>
    <w:rPr>
      <w:rFonts w:ascii="Verdana" w:eastAsiaTheme="majorEastAsia" w:hAnsi="Verdana" w:cstheme="majorBidi"/>
      <w:b/>
      <w:caps/>
      <w:szCs w:val="52"/>
      <w:lang w:val="da-DK" w:eastAsia="da-DK"/>
    </w:rPr>
  </w:style>
  <w:style w:type="character" w:customStyle="1" w:styleId="TitelTegn">
    <w:name w:val="Titel Tegn"/>
    <w:basedOn w:val="Standardskrifttypeiafsnit"/>
    <w:link w:val="Titel"/>
    <w:rsid w:val="00B8410E"/>
    <w:rPr>
      <w:rFonts w:ascii="Verdana" w:eastAsiaTheme="majorEastAsia" w:hAnsi="Verdana" w:cstheme="majorBidi"/>
      <w:b/>
      <w:caps/>
      <w:szCs w:val="52"/>
      <w:lang w:val="da-DK" w:eastAsia="da-DK"/>
    </w:rPr>
  </w:style>
  <w:style w:type="paragraph" w:customStyle="1" w:styleId="Logo01">
    <w:name w:val="Logo01"/>
    <w:semiHidden/>
    <w:qFormat/>
    <w:rsid w:val="00B8410E"/>
    <w:pPr>
      <w:spacing w:line="288" w:lineRule="auto"/>
      <w:ind w:left="7938" w:right="-1418"/>
      <w:jc w:val="both"/>
    </w:pPr>
    <w:rPr>
      <w:rFonts w:ascii="Verdana" w:eastAsia="Times New Roman" w:hAnsi="Verdana" w:cs="Times New Roman"/>
      <w:noProof/>
      <w:sz w:val="16"/>
      <w:szCs w:val="18"/>
      <w:lang w:val="da-DK" w:eastAsia="da-DK"/>
    </w:rPr>
  </w:style>
  <w:style w:type="paragraph" w:customStyle="1" w:styleId="Logo02">
    <w:name w:val="Logo02"/>
    <w:basedOn w:val="Logo01"/>
    <w:semiHidden/>
    <w:qFormat/>
    <w:rsid w:val="00B8410E"/>
    <w:rPr>
      <w:sz w:val="15"/>
      <w:szCs w:val="15"/>
    </w:rPr>
  </w:style>
  <w:style w:type="paragraph" w:customStyle="1" w:styleId="Logo00">
    <w:name w:val="Logo00"/>
    <w:semiHidden/>
    <w:qFormat/>
    <w:rsid w:val="00B8410E"/>
    <w:pPr>
      <w:spacing w:line="288" w:lineRule="auto"/>
      <w:jc w:val="center"/>
    </w:pPr>
    <w:rPr>
      <w:rFonts w:ascii="Verdana" w:eastAsia="Times New Roman" w:hAnsi="Verdana" w:cs="Times New Roman"/>
      <w:noProof/>
      <w:color w:val="797F81"/>
      <w:spacing w:val="-4"/>
      <w:sz w:val="14"/>
      <w:szCs w:val="18"/>
      <w:lang w:val="da-DK" w:eastAsia="da-DK"/>
    </w:rPr>
  </w:style>
  <w:style w:type="paragraph" w:styleId="Citat">
    <w:name w:val="Quote"/>
    <w:basedOn w:val="Normal"/>
    <w:next w:val="Normal"/>
    <w:link w:val="CitatTegn"/>
    <w:qFormat/>
    <w:rsid w:val="00B8410E"/>
    <w:pPr>
      <w:spacing w:line="288" w:lineRule="auto"/>
      <w:ind w:left="567" w:right="567"/>
      <w:jc w:val="both"/>
    </w:pPr>
    <w:rPr>
      <w:rFonts w:ascii="Verdana" w:eastAsia="Times New Roman" w:hAnsi="Verdana" w:cs="Times New Roman"/>
      <w:i/>
      <w:iCs/>
      <w:sz w:val="18"/>
      <w:szCs w:val="18"/>
      <w:lang w:val="da-DK" w:eastAsia="da-DK"/>
    </w:rPr>
  </w:style>
  <w:style w:type="character" w:customStyle="1" w:styleId="CitatTegn">
    <w:name w:val="Citat Tegn"/>
    <w:basedOn w:val="Standardskrifttypeiafsnit"/>
    <w:link w:val="Citat"/>
    <w:rsid w:val="00B8410E"/>
    <w:rPr>
      <w:rFonts w:ascii="Verdana" w:eastAsia="Times New Roman" w:hAnsi="Verdana" w:cs="Times New Roman"/>
      <w:i/>
      <w:iCs/>
      <w:sz w:val="18"/>
      <w:szCs w:val="18"/>
      <w:lang w:val="da-DK" w:eastAsia="da-DK"/>
    </w:rPr>
  </w:style>
  <w:style w:type="paragraph" w:styleId="Markeringsbobletekst">
    <w:name w:val="Balloon Text"/>
    <w:basedOn w:val="Normal"/>
    <w:link w:val="MarkeringsbobletekstTegn"/>
    <w:semiHidden/>
    <w:unhideWhenUsed/>
    <w:rsid w:val="00B8410E"/>
    <w:pPr>
      <w:jc w:val="both"/>
    </w:pPr>
    <w:rPr>
      <w:rFonts w:ascii="Segoe UI" w:eastAsia="Times New Roman" w:hAnsi="Segoe UI" w:cs="Segoe UI"/>
      <w:sz w:val="18"/>
      <w:szCs w:val="18"/>
      <w:lang w:val="da-DK" w:eastAsia="da-DK"/>
    </w:rPr>
  </w:style>
  <w:style w:type="character" w:customStyle="1" w:styleId="MarkeringsbobletekstTegn">
    <w:name w:val="Markeringsbobletekst Tegn"/>
    <w:basedOn w:val="Standardskrifttypeiafsnit"/>
    <w:link w:val="Markeringsbobletekst"/>
    <w:semiHidden/>
    <w:rsid w:val="00B8410E"/>
    <w:rPr>
      <w:rFonts w:ascii="Segoe UI" w:eastAsia="Times New Roman" w:hAnsi="Segoe UI" w:cs="Segoe UI"/>
      <w:sz w:val="18"/>
      <w:szCs w:val="18"/>
      <w:lang w:val="da-DK" w:eastAsia="da-DK"/>
    </w:rPr>
  </w:style>
  <w:style w:type="paragraph" w:customStyle="1" w:styleId="Niveau2">
    <w:name w:val="Niveau 2"/>
    <w:basedOn w:val="Overskrift2"/>
    <w:link w:val="Niveau2Tegn"/>
    <w:rsid w:val="00B8410E"/>
    <w:pPr>
      <w:keepNext w:val="0"/>
      <w:keepLines w:val="0"/>
      <w:numPr>
        <w:ilvl w:val="1"/>
      </w:numPr>
      <w:tabs>
        <w:tab w:val="num" w:pos="850"/>
      </w:tabs>
      <w:spacing w:before="0" w:after="180" w:line="288" w:lineRule="auto"/>
      <w:ind w:left="850" w:hanging="850"/>
      <w:jc w:val="both"/>
    </w:pPr>
    <w:rPr>
      <w:rFonts w:ascii="Verdana" w:eastAsia="Times New Roman" w:hAnsi="Verdana" w:cs="Times New Roman"/>
      <w:color w:val="auto"/>
      <w:sz w:val="18"/>
      <w:szCs w:val="18"/>
      <w:lang w:val="da-DK" w:eastAsia="da-DK"/>
    </w:rPr>
  </w:style>
  <w:style w:type="paragraph" w:customStyle="1" w:styleId="Niveau3">
    <w:name w:val="Niveau 3"/>
    <w:basedOn w:val="Overskrift3"/>
    <w:link w:val="Niveau3Tegn"/>
    <w:rsid w:val="00B8410E"/>
    <w:pPr>
      <w:numPr>
        <w:ilvl w:val="2"/>
      </w:numPr>
      <w:tabs>
        <w:tab w:val="num" w:pos="850"/>
      </w:tabs>
      <w:ind w:left="850" w:hanging="850"/>
    </w:pPr>
    <w:rPr>
      <w:caps w:val="0"/>
    </w:rPr>
  </w:style>
  <w:style w:type="paragraph" w:styleId="Listeafsnit">
    <w:name w:val="List Paragraph"/>
    <w:basedOn w:val="Normal"/>
    <w:uiPriority w:val="34"/>
    <w:qFormat/>
    <w:rsid w:val="00B8410E"/>
    <w:pPr>
      <w:spacing w:line="288" w:lineRule="auto"/>
      <w:ind w:left="720"/>
      <w:contextualSpacing/>
      <w:jc w:val="both"/>
    </w:pPr>
    <w:rPr>
      <w:rFonts w:ascii="Verdana" w:eastAsia="Times New Roman" w:hAnsi="Verdana" w:cs="Times New Roman"/>
      <w:sz w:val="18"/>
      <w:szCs w:val="18"/>
      <w:lang w:val="da-DK" w:eastAsia="da-DK"/>
    </w:rPr>
  </w:style>
  <w:style w:type="character" w:customStyle="1" w:styleId="Niveau2Tegn">
    <w:name w:val="Niveau 2 Tegn"/>
    <w:basedOn w:val="Standardskrifttypeiafsnit"/>
    <w:link w:val="Niveau2"/>
    <w:locked/>
    <w:rsid w:val="00B8410E"/>
    <w:rPr>
      <w:rFonts w:ascii="Verdana" w:eastAsia="Times New Roman" w:hAnsi="Verdana" w:cs="Times New Roman"/>
      <w:sz w:val="18"/>
      <w:szCs w:val="18"/>
      <w:lang w:val="da-DK" w:eastAsia="da-DK"/>
    </w:rPr>
  </w:style>
  <w:style w:type="character" w:customStyle="1" w:styleId="Niveau3Tegn">
    <w:name w:val="Niveau 3 Tegn"/>
    <w:basedOn w:val="Standardskrifttypeiafsnit"/>
    <w:link w:val="Niveau3"/>
    <w:locked/>
    <w:rsid w:val="00B8410E"/>
    <w:rPr>
      <w:rFonts w:ascii="Verdana" w:eastAsia="Times New Roman" w:hAnsi="Verdana" w:cs="Times New Roman"/>
      <w:sz w:val="18"/>
      <w:szCs w:val="18"/>
      <w:lang w:val="da-DK" w:eastAsia="da-DK"/>
    </w:rPr>
  </w:style>
  <w:style w:type="paragraph" w:customStyle="1" w:styleId="Bodytext0AltD">
    <w:name w:val="Body text 0 [Alt+D]"/>
    <w:basedOn w:val="Normal"/>
    <w:uiPriority w:val="2"/>
    <w:qFormat/>
    <w:rsid w:val="00B8410E"/>
    <w:pPr>
      <w:spacing w:after="200"/>
    </w:pPr>
    <w:rPr>
      <w:rFonts w:ascii="Times New Roman" w:eastAsia="Calibri" w:hAnsi="Times New Roman" w:cs="Times New Roman"/>
      <w:sz w:val="22"/>
      <w:szCs w:val="22"/>
      <w:lang w:val="en-GB"/>
    </w:rPr>
  </w:style>
  <w:style w:type="character" w:styleId="Kommentarhenvisning">
    <w:name w:val="annotation reference"/>
    <w:basedOn w:val="Standardskrifttypeiafsnit"/>
    <w:semiHidden/>
    <w:unhideWhenUsed/>
    <w:rsid w:val="00B8410E"/>
    <w:rPr>
      <w:sz w:val="16"/>
      <w:szCs w:val="16"/>
    </w:rPr>
  </w:style>
  <w:style w:type="paragraph" w:styleId="Kommentartekst">
    <w:name w:val="annotation text"/>
    <w:basedOn w:val="Normal"/>
    <w:link w:val="KommentartekstTegn"/>
    <w:semiHidden/>
    <w:unhideWhenUsed/>
    <w:rsid w:val="00B8410E"/>
    <w:pPr>
      <w:jc w:val="both"/>
    </w:pPr>
    <w:rPr>
      <w:rFonts w:ascii="Verdana" w:eastAsia="Times New Roman" w:hAnsi="Verdana" w:cs="Times New Roman"/>
      <w:sz w:val="20"/>
      <w:szCs w:val="20"/>
      <w:lang w:val="da-DK" w:eastAsia="da-DK"/>
    </w:rPr>
  </w:style>
  <w:style w:type="character" w:customStyle="1" w:styleId="KommentartekstTegn">
    <w:name w:val="Kommentartekst Tegn"/>
    <w:basedOn w:val="Standardskrifttypeiafsnit"/>
    <w:link w:val="Kommentartekst"/>
    <w:semiHidden/>
    <w:rsid w:val="00B8410E"/>
    <w:rPr>
      <w:rFonts w:ascii="Verdana" w:eastAsia="Times New Roman" w:hAnsi="Verdana" w:cs="Times New Roman"/>
      <w:sz w:val="20"/>
      <w:szCs w:val="20"/>
      <w:lang w:val="da-DK" w:eastAsia="da-DK"/>
    </w:rPr>
  </w:style>
  <w:style w:type="paragraph" w:styleId="Kommentaremne">
    <w:name w:val="annotation subject"/>
    <w:basedOn w:val="Kommentartekst"/>
    <w:next w:val="Kommentartekst"/>
    <w:link w:val="KommentaremneTegn"/>
    <w:semiHidden/>
    <w:unhideWhenUsed/>
    <w:rsid w:val="00B8410E"/>
    <w:rPr>
      <w:b/>
      <w:bCs/>
    </w:rPr>
  </w:style>
  <w:style w:type="character" w:customStyle="1" w:styleId="KommentaremneTegn">
    <w:name w:val="Kommentaremne Tegn"/>
    <w:basedOn w:val="KommentartekstTegn"/>
    <w:link w:val="Kommentaremne"/>
    <w:semiHidden/>
    <w:rsid w:val="00B8410E"/>
    <w:rPr>
      <w:rFonts w:ascii="Verdana" w:eastAsia="Times New Roman" w:hAnsi="Verdana" w:cs="Times New Roman"/>
      <w:b/>
      <w:bCs/>
      <w:sz w:val="20"/>
      <w:szCs w:val="20"/>
      <w:lang w:val="da-DK" w:eastAsia="da-DK"/>
    </w:rPr>
  </w:style>
  <w:style w:type="paragraph" w:customStyle="1" w:styleId="SABrevpunkt">
    <w:name w:val="SA_Brevpunkt"/>
    <w:basedOn w:val="Normal"/>
    <w:qFormat/>
    <w:rsid w:val="00B8410E"/>
    <w:pPr>
      <w:tabs>
        <w:tab w:val="left" w:pos="567"/>
      </w:tabs>
      <w:spacing w:line="288" w:lineRule="auto"/>
      <w:ind w:left="567" w:hanging="567"/>
      <w:jc w:val="both"/>
    </w:pPr>
    <w:rPr>
      <w:rFonts w:ascii="Verdana" w:eastAsia="Times New Roman" w:hAnsi="Verdana" w:cs="Times New Roman"/>
      <w:sz w:val="18"/>
      <w:szCs w:val="18"/>
      <w:lang w:val="da-DK" w:eastAsia="da-DK"/>
    </w:rPr>
  </w:style>
  <w:style w:type="paragraph" w:customStyle="1" w:styleId="SANiveau1">
    <w:name w:val="SA_Niveau_1"/>
    <w:basedOn w:val="Overskrift1"/>
    <w:next w:val="SANiveau2"/>
    <w:qFormat/>
    <w:rsid w:val="00B8410E"/>
    <w:pPr>
      <w:keepLines w:val="0"/>
      <w:numPr>
        <w:numId w:val="8"/>
      </w:numPr>
      <w:spacing w:before="0" w:after="180" w:line="288" w:lineRule="auto"/>
      <w:ind w:left="851" w:hanging="851"/>
      <w:jc w:val="both"/>
    </w:pPr>
    <w:rPr>
      <w:rFonts w:ascii="Verdana" w:eastAsia="Times New Roman" w:hAnsi="Verdana" w:cs="Times New Roman"/>
      <w:b/>
      <w:caps/>
      <w:color w:val="auto"/>
      <w:kern w:val="28"/>
      <w:sz w:val="18"/>
      <w:szCs w:val="18"/>
      <w:lang w:val="da-DK" w:eastAsia="da-DK"/>
    </w:rPr>
  </w:style>
  <w:style w:type="paragraph" w:customStyle="1" w:styleId="SANiveau2">
    <w:name w:val="SA_Niveau_2"/>
    <w:basedOn w:val="Normal"/>
    <w:qFormat/>
    <w:rsid w:val="00B8410E"/>
    <w:pPr>
      <w:numPr>
        <w:ilvl w:val="1"/>
        <w:numId w:val="8"/>
      </w:numPr>
      <w:spacing w:after="180" w:line="288" w:lineRule="auto"/>
      <w:ind w:left="851" w:hanging="851"/>
      <w:jc w:val="both"/>
    </w:pPr>
    <w:rPr>
      <w:rFonts w:ascii="Verdana" w:eastAsia="Times New Roman" w:hAnsi="Verdana" w:cs="Times New Roman"/>
      <w:sz w:val="18"/>
      <w:szCs w:val="18"/>
      <w:lang w:val="da-DK" w:eastAsia="da-DK"/>
    </w:rPr>
  </w:style>
  <w:style w:type="paragraph" w:customStyle="1" w:styleId="SANiveau3">
    <w:name w:val="SA_Niveau_3"/>
    <w:basedOn w:val="Normal"/>
    <w:qFormat/>
    <w:rsid w:val="00B8410E"/>
    <w:pPr>
      <w:numPr>
        <w:ilvl w:val="2"/>
        <w:numId w:val="8"/>
      </w:numPr>
      <w:spacing w:after="180" w:line="288" w:lineRule="auto"/>
      <w:ind w:left="851" w:hanging="851"/>
      <w:jc w:val="both"/>
    </w:pPr>
    <w:rPr>
      <w:rFonts w:ascii="Verdana" w:eastAsia="Times New Roman" w:hAnsi="Verdana" w:cs="Times New Roman"/>
      <w:sz w:val="18"/>
      <w:szCs w:val="18"/>
      <w:lang w:val="da-DK" w:eastAsia="da-DK"/>
    </w:rPr>
  </w:style>
  <w:style w:type="paragraph" w:customStyle="1" w:styleId="SAOpstillingBogstav">
    <w:name w:val="SA_Opstilling_Bogstav"/>
    <w:basedOn w:val="Normal"/>
    <w:qFormat/>
    <w:rsid w:val="00B8410E"/>
    <w:pPr>
      <w:numPr>
        <w:numId w:val="9"/>
      </w:numPr>
      <w:spacing w:line="288" w:lineRule="auto"/>
      <w:jc w:val="both"/>
    </w:pPr>
    <w:rPr>
      <w:rFonts w:ascii="Verdana" w:eastAsia="Times New Roman" w:hAnsi="Verdana" w:cs="Times New Roman"/>
      <w:sz w:val="18"/>
      <w:szCs w:val="18"/>
      <w:lang w:val="da-DK" w:eastAsia="da-DK"/>
    </w:rPr>
  </w:style>
  <w:style w:type="paragraph" w:customStyle="1" w:styleId="SADokumentOverskrift">
    <w:name w:val="SA_DokumentOverskrift"/>
    <w:basedOn w:val="Normal"/>
    <w:next w:val="Normal"/>
    <w:qFormat/>
    <w:rsid w:val="00B8410E"/>
    <w:pPr>
      <w:spacing w:line="288" w:lineRule="auto"/>
      <w:jc w:val="both"/>
    </w:pPr>
    <w:rPr>
      <w:rFonts w:ascii="Verdana" w:eastAsia="Times New Roman" w:hAnsi="Verdana" w:cs="Times New Roman"/>
      <w:b/>
      <w:caps/>
      <w:lang w:val="da-DK" w:eastAsia="da-DK"/>
    </w:rPr>
  </w:style>
  <w:style w:type="table" w:styleId="Tabel-Gitter">
    <w:name w:val="Table Grid"/>
    <w:basedOn w:val="Tabel-Normal"/>
    <w:rsid w:val="00B8410E"/>
    <w:pPr>
      <w:jc w:val="both"/>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B8410E"/>
    <w:rPr>
      <w:b/>
      <w:bCs/>
    </w:rPr>
  </w:style>
  <w:style w:type="paragraph" w:styleId="Opstilling-punkttegn">
    <w:name w:val="List Bullet"/>
    <w:basedOn w:val="Normal"/>
    <w:unhideWhenUsed/>
    <w:rsid w:val="00B8410E"/>
    <w:pPr>
      <w:numPr>
        <w:numId w:val="18"/>
      </w:numPr>
      <w:spacing w:line="288" w:lineRule="auto"/>
      <w:contextualSpacing/>
      <w:jc w:val="both"/>
    </w:pPr>
    <w:rPr>
      <w:rFonts w:ascii="Verdana" w:eastAsia="Times New Roman" w:hAnsi="Verdana" w:cs="Times New Roman"/>
      <w:sz w:val="18"/>
      <w:szCs w:val="18"/>
      <w:lang w:val="da-DK" w:eastAsia="da-DK"/>
    </w:rPr>
  </w:style>
  <w:style w:type="paragraph" w:styleId="Slutnotetekst">
    <w:name w:val="endnote text"/>
    <w:basedOn w:val="Normal"/>
    <w:link w:val="SlutnotetekstTegn"/>
    <w:semiHidden/>
    <w:unhideWhenUsed/>
    <w:rsid w:val="00B8410E"/>
    <w:pPr>
      <w:jc w:val="both"/>
    </w:pPr>
    <w:rPr>
      <w:rFonts w:ascii="Verdana" w:eastAsia="Times New Roman" w:hAnsi="Verdana" w:cs="Times New Roman"/>
      <w:sz w:val="20"/>
      <w:szCs w:val="20"/>
      <w:lang w:val="da-DK" w:eastAsia="da-DK"/>
    </w:rPr>
  </w:style>
  <w:style w:type="character" w:customStyle="1" w:styleId="SlutnotetekstTegn">
    <w:name w:val="Slutnotetekst Tegn"/>
    <w:basedOn w:val="Standardskrifttypeiafsnit"/>
    <w:link w:val="Slutnotetekst"/>
    <w:semiHidden/>
    <w:rsid w:val="00B8410E"/>
    <w:rPr>
      <w:rFonts w:ascii="Verdana" w:eastAsia="Times New Roman" w:hAnsi="Verdana" w:cs="Times New Roman"/>
      <w:sz w:val="20"/>
      <w:szCs w:val="20"/>
      <w:lang w:val="da-DK" w:eastAsia="da-DK"/>
    </w:rPr>
  </w:style>
  <w:style w:type="character" w:styleId="Slutnotehenvisning">
    <w:name w:val="endnote reference"/>
    <w:basedOn w:val="Standardskrifttypeiafsnit"/>
    <w:semiHidden/>
    <w:unhideWhenUsed/>
    <w:rsid w:val="00B8410E"/>
    <w:rPr>
      <w:vertAlign w:val="superscript"/>
    </w:rPr>
  </w:style>
  <w:style w:type="paragraph" w:styleId="Fodnotetekst">
    <w:name w:val="footnote text"/>
    <w:basedOn w:val="Normal"/>
    <w:link w:val="FodnotetekstTegn"/>
    <w:semiHidden/>
    <w:unhideWhenUsed/>
    <w:rsid w:val="00B8410E"/>
    <w:pPr>
      <w:jc w:val="both"/>
    </w:pPr>
    <w:rPr>
      <w:rFonts w:ascii="Verdana" w:eastAsia="Times New Roman" w:hAnsi="Verdana" w:cs="Times New Roman"/>
      <w:sz w:val="20"/>
      <w:szCs w:val="20"/>
      <w:lang w:val="da-DK" w:eastAsia="da-DK"/>
    </w:rPr>
  </w:style>
  <w:style w:type="character" w:customStyle="1" w:styleId="FodnotetekstTegn">
    <w:name w:val="Fodnotetekst Tegn"/>
    <w:basedOn w:val="Standardskrifttypeiafsnit"/>
    <w:link w:val="Fodnotetekst"/>
    <w:semiHidden/>
    <w:rsid w:val="00B8410E"/>
    <w:rPr>
      <w:rFonts w:ascii="Verdana" w:eastAsia="Times New Roman" w:hAnsi="Verdana" w:cs="Times New Roman"/>
      <w:sz w:val="20"/>
      <w:szCs w:val="20"/>
      <w:lang w:val="da-DK" w:eastAsia="da-DK"/>
    </w:rPr>
  </w:style>
  <w:style w:type="character" w:styleId="Fodnotehenvisning">
    <w:name w:val="footnote reference"/>
    <w:basedOn w:val="Standardskrifttypeiafsnit"/>
    <w:semiHidden/>
    <w:unhideWhenUsed/>
    <w:rsid w:val="00B84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5897</Words>
  <Characters>35973</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Nyboe</dc:creator>
  <cp:keywords/>
  <dc:description/>
  <cp:lastModifiedBy>Anne Tranum</cp:lastModifiedBy>
  <cp:revision>13</cp:revision>
  <dcterms:created xsi:type="dcterms:W3CDTF">2022-04-07T13:01:00Z</dcterms:created>
  <dcterms:modified xsi:type="dcterms:W3CDTF">2023-05-16T09:40:00Z</dcterms:modified>
</cp:coreProperties>
</file>